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28E02">
      <w:pPr>
        <w:spacing w:before="35"/>
        <w:ind w:right="0"/>
        <w:jc w:val="left"/>
        <w:rPr>
          <w:rFonts w:hint="default" w:ascii="Times New Roman" w:hAnsi="Times New Roman" w:eastAsia="黑体" w:cs="Times New Roman"/>
          <w:sz w:val="31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 w:bidi="zh-CN"/>
        </w:rPr>
        <w:t xml:space="preserve"> 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 w:bidi="zh-CN"/>
        </w:rPr>
        <w:t>1</w:t>
      </w:r>
      <w:bookmarkStart w:id="0" w:name="_GoBack"/>
      <w:bookmarkEnd w:id="0"/>
    </w:p>
    <w:p w14:paraId="0B1136DA">
      <w:pPr>
        <w:pStyle w:val="2"/>
        <w:ind w:right="559"/>
        <w:rPr>
          <w:rFonts w:hint="eastAsia" w:ascii="方正小标宋_GBK" w:hAnsi="方正小标宋_GBK" w:eastAsia="方正小标宋_GBK" w:cs="方正小标宋_GBK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</w:rPr>
        <w:t>吉利学院教师评学</w:t>
      </w:r>
      <w:r>
        <w:rPr>
          <w:rFonts w:hint="eastAsia" w:ascii="方正小标宋_GBK" w:hAnsi="方正小标宋_GBK" w:eastAsia="方正小标宋_GBK" w:cs="方正小标宋_GBK"/>
          <w:lang w:val="en-US" w:eastAsia="zh-CN"/>
        </w:rPr>
        <w:t>指标</w:t>
      </w:r>
    </w:p>
    <w:p w14:paraId="4543C869">
      <w:pPr>
        <w:pStyle w:val="3"/>
        <w:spacing w:before="2"/>
        <w:rPr>
          <w:b/>
          <w:sz w:val="12"/>
        </w:rPr>
      </w:pPr>
    </w:p>
    <w:p w14:paraId="58E1876E">
      <w:pPr>
        <w:tabs>
          <w:tab w:val="left" w:pos="3255"/>
          <w:tab w:val="left" w:pos="5995"/>
          <w:tab w:val="left" w:pos="8727"/>
        </w:tabs>
        <w:spacing w:before="77"/>
        <w:ind w:right="0"/>
        <w:jc w:val="left"/>
        <w:rPr>
          <w:rFonts w:ascii="Times New Roman" w:eastAsia="Times New Roman"/>
          <w:b/>
          <w:sz w:val="21"/>
        </w:rPr>
      </w:pPr>
    </w:p>
    <w:p w14:paraId="79E1ECF0">
      <w:pPr>
        <w:pStyle w:val="3"/>
        <w:spacing w:before="7"/>
        <w:rPr>
          <w:rFonts w:ascii="Times New Roman"/>
          <w:b/>
          <w:sz w:val="7"/>
        </w:rPr>
      </w:pPr>
    </w:p>
    <w:tbl>
      <w:tblPr>
        <w:tblStyle w:val="5"/>
        <w:tblW w:w="10083" w:type="dxa"/>
        <w:tblInd w:w="-57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3"/>
        <w:gridCol w:w="6453"/>
        <w:gridCol w:w="1667"/>
      </w:tblGrid>
      <w:tr w14:paraId="0B9458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963" w:type="dxa"/>
            <w:vAlign w:val="center"/>
          </w:tcPr>
          <w:p w14:paraId="408A8DF4">
            <w:pPr>
              <w:pStyle w:val="7"/>
              <w:spacing w:before="18" w:line="282" w:lineRule="exact"/>
              <w:ind w:left="76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评价要素</w:t>
            </w:r>
          </w:p>
        </w:tc>
        <w:tc>
          <w:tcPr>
            <w:tcW w:w="6453" w:type="dxa"/>
            <w:vAlign w:val="center"/>
          </w:tcPr>
          <w:p w14:paraId="2E74E383">
            <w:pPr>
              <w:pStyle w:val="7"/>
              <w:spacing w:before="18" w:line="282" w:lineRule="exact"/>
              <w:ind w:right="2430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val="en-US" w:eastAsia="zh-CN"/>
              </w:rPr>
              <w:t xml:space="preserve">               </w:t>
            </w: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评价指标</w:t>
            </w:r>
          </w:p>
        </w:tc>
        <w:tc>
          <w:tcPr>
            <w:tcW w:w="1667" w:type="dxa"/>
            <w:vAlign w:val="center"/>
          </w:tcPr>
          <w:p w14:paraId="6F08FCF9">
            <w:pPr>
              <w:pStyle w:val="7"/>
              <w:spacing w:before="18" w:line="282" w:lineRule="exact"/>
              <w:ind w:left="153" w:right="137"/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  <w:t>分值</w:t>
            </w:r>
          </w:p>
        </w:tc>
      </w:tr>
      <w:tr w14:paraId="603D72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963" w:type="dxa"/>
            <w:vMerge w:val="restart"/>
            <w:vAlign w:val="center"/>
          </w:tcPr>
          <w:p w14:paraId="48FB16A8">
            <w:pPr>
              <w:pStyle w:val="7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学习态度</w:t>
            </w:r>
          </w:p>
        </w:tc>
        <w:tc>
          <w:tcPr>
            <w:tcW w:w="6453" w:type="dxa"/>
            <w:vAlign w:val="center"/>
          </w:tcPr>
          <w:p w14:paraId="281834C2">
            <w:pPr>
              <w:pStyle w:val="7"/>
              <w:spacing w:before="17" w:line="283" w:lineRule="exact"/>
              <w:ind w:left="57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上课出勤率高，无迟到旷课现象</w:t>
            </w:r>
          </w:p>
        </w:tc>
        <w:tc>
          <w:tcPr>
            <w:tcW w:w="1667" w:type="dxa"/>
            <w:vAlign w:val="center"/>
          </w:tcPr>
          <w:p w14:paraId="140CBC7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" w:line="283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8</w:t>
            </w:r>
          </w:p>
        </w:tc>
      </w:tr>
      <w:tr w14:paraId="161E1B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963" w:type="dxa"/>
            <w:vMerge w:val="continue"/>
            <w:tcBorders>
              <w:top w:val="nil"/>
            </w:tcBorders>
            <w:vAlign w:val="center"/>
          </w:tcPr>
          <w:p w14:paraId="04823D85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</w:p>
        </w:tc>
        <w:tc>
          <w:tcPr>
            <w:tcW w:w="6453" w:type="dxa"/>
            <w:vAlign w:val="center"/>
          </w:tcPr>
          <w:p w14:paraId="10F478F5">
            <w:pPr>
              <w:pStyle w:val="7"/>
              <w:spacing w:before="18" w:line="282" w:lineRule="exact"/>
              <w:ind w:left="57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尊敬师长，勤奋好学，听课认真，情绪饱满</w:t>
            </w:r>
          </w:p>
        </w:tc>
        <w:tc>
          <w:tcPr>
            <w:tcW w:w="1667" w:type="dxa"/>
            <w:vAlign w:val="center"/>
          </w:tcPr>
          <w:p w14:paraId="22D6583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" w:line="282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6</w:t>
            </w:r>
          </w:p>
        </w:tc>
      </w:tr>
      <w:tr w14:paraId="6A8075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963" w:type="dxa"/>
            <w:vMerge w:val="continue"/>
            <w:tcBorders>
              <w:top w:val="nil"/>
            </w:tcBorders>
            <w:vAlign w:val="center"/>
          </w:tcPr>
          <w:p w14:paraId="77E7FCD0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</w:p>
        </w:tc>
        <w:tc>
          <w:tcPr>
            <w:tcW w:w="6453" w:type="dxa"/>
            <w:vAlign w:val="center"/>
          </w:tcPr>
          <w:p w14:paraId="1A5375BE">
            <w:pPr>
              <w:pStyle w:val="7"/>
              <w:spacing w:before="16" w:line="284" w:lineRule="exact"/>
              <w:ind w:left="57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学生对该门课很感兴趣，学习积极性高</w:t>
            </w:r>
          </w:p>
        </w:tc>
        <w:tc>
          <w:tcPr>
            <w:tcW w:w="1667" w:type="dxa"/>
            <w:vAlign w:val="center"/>
          </w:tcPr>
          <w:p w14:paraId="1B798A1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" w:line="284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6</w:t>
            </w:r>
          </w:p>
        </w:tc>
      </w:tr>
      <w:tr w14:paraId="31AB77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963" w:type="dxa"/>
            <w:vMerge w:val="continue"/>
            <w:tcBorders>
              <w:top w:val="nil"/>
            </w:tcBorders>
            <w:vAlign w:val="center"/>
          </w:tcPr>
          <w:p w14:paraId="2E9C10A0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</w:p>
        </w:tc>
        <w:tc>
          <w:tcPr>
            <w:tcW w:w="6453" w:type="dxa"/>
            <w:vAlign w:val="center"/>
          </w:tcPr>
          <w:p w14:paraId="6EE53022">
            <w:pPr>
              <w:pStyle w:val="7"/>
              <w:spacing w:before="17" w:line="283" w:lineRule="exact"/>
              <w:ind w:left="57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课堂秩序好</w:t>
            </w:r>
          </w:p>
        </w:tc>
        <w:tc>
          <w:tcPr>
            <w:tcW w:w="1667" w:type="dxa"/>
            <w:vAlign w:val="center"/>
          </w:tcPr>
          <w:p w14:paraId="61098C1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" w:line="283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8</w:t>
            </w:r>
          </w:p>
        </w:tc>
      </w:tr>
      <w:tr w14:paraId="5B82D8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963" w:type="dxa"/>
            <w:vMerge w:val="restart"/>
            <w:vAlign w:val="center"/>
          </w:tcPr>
          <w:p w14:paraId="1D84EF27">
            <w:pPr>
              <w:pStyle w:val="7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学习过程</w:t>
            </w:r>
          </w:p>
        </w:tc>
        <w:tc>
          <w:tcPr>
            <w:tcW w:w="6453" w:type="dxa"/>
            <w:vAlign w:val="center"/>
          </w:tcPr>
          <w:p w14:paraId="7AC0EA75">
            <w:pPr>
              <w:pStyle w:val="7"/>
              <w:spacing w:before="16" w:line="284" w:lineRule="exact"/>
              <w:ind w:left="57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学生能做到课前预习、课后复习</w:t>
            </w:r>
          </w:p>
        </w:tc>
        <w:tc>
          <w:tcPr>
            <w:tcW w:w="1667" w:type="dxa"/>
            <w:vAlign w:val="center"/>
          </w:tcPr>
          <w:p w14:paraId="20160FD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" w:line="284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8</w:t>
            </w:r>
          </w:p>
        </w:tc>
      </w:tr>
      <w:tr w14:paraId="3BA895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963" w:type="dxa"/>
            <w:vMerge w:val="continue"/>
            <w:tcBorders>
              <w:top w:val="nil"/>
            </w:tcBorders>
            <w:vAlign w:val="center"/>
          </w:tcPr>
          <w:p w14:paraId="28636013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</w:p>
        </w:tc>
        <w:tc>
          <w:tcPr>
            <w:tcW w:w="6453" w:type="dxa"/>
            <w:vAlign w:val="center"/>
          </w:tcPr>
          <w:p w14:paraId="5E219138">
            <w:pPr>
              <w:pStyle w:val="7"/>
              <w:spacing w:before="17" w:line="283" w:lineRule="exact"/>
              <w:ind w:left="57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课堂气氛好，思维活跃，发言积极</w:t>
            </w:r>
          </w:p>
        </w:tc>
        <w:tc>
          <w:tcPr>
            <w:tcW w:w="1667" w:type="dxa"/>
            <w:vAlign w:val="center"/>
          </w:tcPr>
          <w:p w14:paraId="1B975CE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" w:line="283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8</w:t>
            </w:r>
          </w:p>
        </w:tc>
      </w:tr>
      <w:tr w14:paraId="27AB77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963" w:type="dxa"/>
            <w:vMerge w:val="continue"/>
            <w:tcBorders>
              <w:top w:val="nil"/>
            </w:tcBorders>
            <w:vAlign w:val="center"/>
          </w:tcPr>
          <w:p w14:paraId="38E6F9EE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</w:p>
        </w:tc>
        <w:tc>
          <w:tcPr>
            <w:tcW w:w="6453" w:type="dxa"/>
            <w:vAlign w:val="center"/>
          </w:tcPr>
          <w:p w14:paraId="738D323D">
            <w:pPr>
              <w:pStyle w:val="7"/>
              <w:spacing w:before="18" w:line="282" w:lineRule="exact"/>
              <w:ind w:left="57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跟随教师思路，认真做好笔记</w:t>
            </w:r>
          </w:p>
        </w:tc>
        <w:tc>
          <w:tcPr>
            <w:tcW w:w="1667" w:type="dxa"/>
            <w:vAlign w:val="center"/>
          </w:tcPr>
          <w:p w14:paraId="78302C4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8" w:line="282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8</w:t>
            </w:r>
          </w:p>
        </w:tc>
      </w:tr>
      <w:tr w14:paraId="0A0315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963" w:type="dxa"/>
            <w:vMerge w:val="continue"/>
            <w:tcBorders>
              <w:top w:val="nil"/>
            </w:tcBorders>
            <w:vAlign w:val="center"/>
          </w:tcPr>
          <w:p w14:paraId="4F5D09DC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</w:p>
        </w:tc>
        <w:tc>
          <w:tcPr>
            <w:tcW w:w="6453" w:type="dxa"/>
            <w:vAlign w:val="center"/>
          </w:tcPr>
          <w:p w14:paraId="1677B6F5">
            <w:pPr>
              <w:pStyle w:val="7"/>
              <w:spacing w:before="16" w:line="283" w:lineRule="exact"/>
              <w:ind w:left="57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学生能按时独立完成作业，正确率高</w:t>
            </w:r>
          </w:p>
        </w:tc>
        <w:tc>
          <w:tcPr>
            <w:tcW w:w="1667" w:type="dxa"/>
            <w:vAlign w:val="center"/>
          </w:tcPr>
          <w:p w14:paraId="771DA52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" w:line="283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8</w:t>
            </w:r>
          </w:p>
        </w:tc>
      </w:tr>
      <w:tr w14:paraId="171012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963" w:type="dxa"/>
            <w:vMerge w:val="restart"/>
            <w:vAlign w:val="center"/>
          </w:tcPr>
          <w:p w14:paraId="66781F8E">
            <w:pPr>
              <w:pStyle w:val="7"/>
              <w:spacing w:before="1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学习能力</w:t>
            </w:r>
          </w:p>
        </w:tc>
        <w:tc>
          <w:tcPr>
            <w:tcW w:w="6453" w:type="dxa"/>
            <w:vAlign w:val="center"/>
          </w:tcPr>
          <w:p w14:paraId="288FB778">
            <w:pPr>
              <w:pStyle w:val="7"/>
              <w:spacing w:before="16" w:line="283" w:lineRule="exact"/>
              <w:ind w:left="57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具有一定的自学能力、沟通与合作能力、创新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意识</w:t>
            </w:r>
          </w:p>
        </w:tc>
        <w:tc>
          <w:tcPr>
            <w:tcW w:w="1667" w:type="dxa"/>
            <w:vAlign w:val="center"/>
          </w:tcPr>
          <w:p w14:paraId="415999E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" w:line="283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8</w:t>
            </w:r>
          </w:p>
        </w:tc>
      </w:tr>
      <w:tr w14:paraId="6A684E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963" w:type="dxa"/>
            <w:vMerge w:val="continue"/>
            <w:tcBorders>
              <w:top w:val="nil"/>
            </w:tcBorders>
            <w:vAlign w:val="center"/>
          </w:tcPr>
          <w:p w14:paraId="6C7C9488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</w:p>
        </w:tc>
        <w:tc>
          <w:tcPr>
            <w:tcW w:w="6453" w:type="dxa"/>
            <w:vAlign w:val="center"/>
          </w:tcPr>
          <w:p w14:paraId="4BBB9B97">
            <w:pPr>
              <w:pStyle w:val="7"/>
              <w:spacing w:before="16" w:line="283" w:lineRule="exact"/>
              <w:ind w:left="57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能够合理利用资源，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增强学习动力</w:t>
            </w:r>
          </w:p>
        </w:tc>
        <w:tc>
          <w:tcPr>
            <w:tcW w:w="1667" w:type="dxa"/>
            <w:vAlign w:val="center"/>
          </w:tcPr>
          <w:p w14:paraId="72A35AE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6" w:line="283" w:lineRule="exact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8</w:t>
            </w:r>
          </w:p>
        </w:tc>
      </w:tr>
      <w:tr w14:paraId="6E78DD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963" w:type="dxa"/>
            <w:vMerge w:val="restart"/>
            <w:vAlign w:val="center"/>
          </w:tcPr>
          <w:p w14:paraId="3C760008">
            <w:pPr>
              <w:pStyle w:val="7"/>
              <w:ind w:left="76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学习效果</w:t>
            </w:r>
          </w:p>
        </w:tc>
        <w:tc>
          <w:tcPr>
            <w:tcW w:w="6453" w:type="dxa"/>
            <w:vAlign w:val="center"/>
          </w:tcPr>
          <w:p w14:paraId="21ADFF70">
            <w:pPr>
              <w:pStyle w:val="7"/>
              <w:spacing w:line="320" w:lineRule="atLeast"/>
              <w:ind w:left="57" w:right="38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学生掌握了课程基本知识、基本理论和基本技能，达到了教学目的，考试平均成绩良好</w:t>
            </w:r>
          </w:p>
        </w:tc>
        <w:tc>
          <w:tcPr>
            <w:tcW w:w="1667" w:type="dxa"/>
            <w:vAlign w:val="center"/>
          </w:tcPr>
          <w:p w14:paraId="26D0DD8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71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8</w:t>
            </w:r>
          </w:p>
        </w:tc>
      </w:tr>
      <w:tr w14:paraId="4F2FCD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1963" w:type="dxa"/>
            <w:vMerge w:val="continue"/>
            <w:tcBorders>
              <w:top w:val="nil"/>
            </w:tcBorders>
            <w:vAlign w:val="center"/>
          </w:tcPr>
          <w:p w14:paraId="7FC3A893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</w:p>
        </w:tc>
        <w:tc>
          <w:tcPr>
            <w:tcW w:w="6453" w:type="dxa"/>
            <w:vAlign w:val="center"/>
          </w:tcPr>
          <w:p w14:paraId="143D4E5E">
            <w:pPr>
              <w:pStyle w:val="7"/>
              <w:spacing w:before="10" w:line="249" w:lineRule="auto"/>
              <w:ind w:left="57" w:right="38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作业质量高，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学生觉得有收获，学习兴趣有所提高</w:t>
            </w:r>
          </w:p>
        </w:tc>
        <w:tc>
          <w:tcPr>
            <w:tcW w:w="1667" w:type="dxa"/>
            <w:vAlign w:val="center"/>
          </w:tcPr>
          <w:p w14:paraId="4C5F6C1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0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8</w:t>
            </w:r>
          </w:p>
        </w:tc>
      </w:tr>
      <w:tr w14:paraId="5310F1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963" w:type="dxa"/>
            <w:vMerge w:val="continue"/>
            <w:tcBorders>
              <w:top w:val="nil"/>
            </w:tcBorders>
            <w:vAlign w:val="center"/>
          </w:tcPr>
          <w:p w14:paraId="7FE1492E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</w:p>
        </w:tc>
        <w:tc>
          <w:tcPr>
            <w:tcW w:w="6453" w:type="dxa"/>
            <w:vAlign w:val="center"/>
          </w:tcPr>
          <w:p w14:paraId="30B65F59">
            <w:pPr>
              <w:pStyle w:val="7"/>
              <w:spacing w:before="79"/>
              <w:ind w:left="57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经过一学期的教学，您对这个班级学风的整体评价</w:t>
            </w:r>
          </w:p>
        </w:tc>
        <w:tc>
          <w:tcPr>
            <w:tcW w:w="1667" w:type="dxa"/>
            <w:vAlign w:val="center"/>
          </w:tcPr>
          <w:p w14:paraId="35C670F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79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8</w:t>
            </w:r>
          </w:p>
        </w:tc>
      </w:tr>
      <w:tr w14:paraId="1C2EBB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963" w:type="dxa"/>
            <w:tcBorders>
              <w:top w:val="nil"/>
            </w:tcBorders>
            <w:vAlign w:val="center"/>
          </w:tcPr>
          <w:p w14:paraId="22DEDCD0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</w:p>
          <w:p w14:paraId="4690E514">
            <w:pPr>
              <w:pStyle w:val="7"/>
              <w:spacing w:before="18"/>
              <w:ind w:left="56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最终评价</w:t>
            </w:r>
          </w:p>
          <w:p w14:paraId="7E4D65C5">
            <w:pPr>
              <w:bidi w:val="0"/>
              <w:jc w:val="center"/>
              <w:rPr>
                <w:rFonts w:hint="eastAsia" w:ascii="黑体" w:hAnsi="黑体" w:eastAsia="黑体" w:cs="黑体"/>
                <w:sz w:val="32"/>
                <w:szCs w:val="32"/>
                <w:lang w:val="zh-CN" w:eastAsia="zh-CN" w:bidi="zh-CN"/>
              </w:rPr>
            </w:pPr>
          </w:p>
        </w:tc>
        <w:tc>
          <w:tcPr>
            <w:tcW w:w="6453" w:type="dxa"/>
            <w:vAlign w:val="center"/>
          </w:tcPr>
          <w:p w14:paraId="07E221E1">
            <w:pPr>
              <w:pStyle w:val="7"/>
              <w:spacing w:before="79"/>
              <w:ind w:left="57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9"/>
                <w:sz w:val="28"/>
                <w:szCs w:val="28"/>
              </w:rPr>
              <w:t>总分</w:t>
            </w:r>
            <w:r>
              <w:rPr>
                <w:rFonts w:hint="eastAsia" w:asciiTheme="majorEastAsia" w:hAnsiTheme="majorEastAsia" w:eastAsiaTheme="majorEastAsia" w:cstheme="majorEastAsia"/>
                <w:spacing w:val="11"/>
                <w:sz w:val="28"/>
                <w:szCs w:val="28"/>
              </w:rPr>
              <w:t>100</w:t>
            </w:r>
            <w:r>
              <w:rPr>
                <w:rFonts w:hint="eastAsia" w:asciiTheme="majorEastAsia" w:hAnsiTheme="majorEastAsia" w:eastAsiaTheme="majorEastAsia" w:cstheme="majorEastAsia"/>
                <w:spacing w:val="-46"/>
                <w:sz w:val="28"/>
                <w:szCs w:val="28"/>
              </w:rPr>
              <w:t>-</w:t>
            </w:r>
            <w:r>
              <w:rPr>
                <w:rFonts w:hint="eastAsia" w:asciiTheme="majorEastAsia" w:hAnsiTheme="majorEastAsia" w:eastAsiaTheme="majorEastAsia" w:cstheme="majorEastAsia"/>
                <w:spacing w:val="5"/>
                <w:sz w:val="28"/>
                <w:szCs w:val="28"/>
              </w:rPr>
              <w:t>90</w:t>
            </w:r>
            <w:r>
              <w:rPr>
                <w:rFonts w:hint="eastAsia" w:asciiTheme="majorEastAsia" w:hAnsiTheme="majorEastAsia" w:eastAsiaTheme="majorEastAsia" w:cstheme="majorEastAsia"/>
                <w:spacing w:val="-7"/>
                <w:sz w:val="28"/>
                <w:szCs w:val="28"/>
              </w:rPr>
              <w:t>为优</w:t>
            </w:r>
            <w:r>
              <w:rPr>
                <w:rFonts w:hint="eastAsia" w:asciiTheme="majorEastAsia" w:hAnsiTheme="majorEastAsia" w:eastAsiaTheme="majorEastAsia" w:cstheme="majorEastAsia"/>
                <w:spacing w:val="-7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spacing w:val="8"/>
                <w:sz w:val="28"/>
                <w:szCs w:val="28"/>
              </w:rPr>
              <w:t>89</w:t>
            </w:r>
            <w:r>
              <w:rPr>
                <w:rFonts w:hint="eastAsia" w:asciiTheme="majorEastAsia" w:hAnsiTheme="majorEastAsia" w:eastAsiaTheme="majorEastAsia" w:cstheme="majorEastAsia"/>
                <w:spacing w:val="-97"/>
                <w:sz w:val="28"/>
                <w:szCs w:val="28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-80</w:t>
            </w:r>
            <w:r>
              <w:rPr>
                <w:rFonts w:hint="eastAsia" w:asciiTheme="majorEastAsia" w:hAnsiTheme="majorEastAsia" w:eastAsiaTheme="majorEastAsia" w:cstheme="majorEastAsia"/>
                <w:spacing w:val="-5"/>
                <w:sz w:val="28"/>
                <w:szCs w:val="28"/>
              </w:rPr>
              <w:t>为良好，</w:t>
            </w:r>
            <w:r>
              <w:rPr>
                <w:rFonts w:hint="eastAsia" w:asciiTheme="majorEastAsia" w:hAnsiTheme="majorEastAsia" w:eastAsiaTheme="majorEastAsia" w:cstheme="majorEastAsia"/>
                <w:spacing w:val="7"/>
                <w:sz w:val="28"/>
                <w:szCs w:val="28"/>
              </w:rPr>
              <w:t>79</w:t>
            </w:r>
            <w:r>
              <w:rPr>
                <w:rFonts w:hint="eastAsia" w:asciiTheme="majorEastAsia" w:hAnsiTheme="majorEastAsia" w:eastAsiaTheme="majorEastAsia" w:cstheme="majorEastAsia"/>
                <w:spacing w:val="-46"/>
                <w:sz w:val="28"/>
                <w:szCs w:val="28"/>
              </w:rPr>
              <w:t xml:space="preserve"> -</w:t>
            </w:r>
            <w:r>
              <w:rPr>
                <w:rFonts w:hint="eastAsia" w:asciiTheme="majorEastAsia" w:hAnsiTheme="majorEastAsia" w:eastAsiaTheme="majorEastAsia" w:cstheme="majorEastAsia"/>
                <w:spacing w:val="5"/>
                <w:sz w:val="28"/>
                <w:szCs w:val="28"/>
              </w:rPr>
              <w:t>70</w:t>
            </w:r>
            <w:r>
              <w:rPr>
                <w:rFonts w:hint="eastAsia" w:asciiTheme="majorEastAsia" w:hAnsiTheme="majorEastAsia" w:eastAsiaTheme="majorEastAsia" w:cstheme="majorEastAsia"/>
                <w:spacing w:val="-7"/>
                <w:sz w:val="28"/>
                <w:szCs w:val="28"/>
              </w:rPr>
              <w:t>为中，</w:t>
            </w:r>
            <w:r>
              <w:rPr>
                <w:rFonts w:hint="eastAsia" w:asciiTheme="majorEastAsia" w:hAnsiTheme="majorEastAsia" w:eastAsiaTheme="majorEastAsia" w:cstheme="majorEastAsia"/>
                <w:spacing w:val="15"/>
                <w:sz w:val="28"/>
                <w:szCs w:val="28"/>
              </w:rPr>
              <w:t>69-60</w:t>
            </w:r>
            <w:r>
              <w:rPr>
                <w:rFonts w:hint="eastAsia" w:asciiTheme="majorEastAsia" w:hAnsiTheme="majorEastAsia" w:eastAsiaTheme="majorEastAsia" w:cstheme="majorEastAsia"/>
                <w:spacing w:val="-14"/>
                <w:sz w:val="28"/>
                <w:szCs w:val="28"/>
              </w:rPr>
              <w:t>基</w:t>
            </w:r>
            <w:r>
              <w:rPr>
                <w:rFonts w:hint="eastAsia" w:asciiTheme="majorEastAsia" w:hAnsiTheme="majorEastAsia" w:eastAsiaTheme="majorEastAsia" w:cstheme="majorEastAsia"/>
                <w:spacing w:val="7"/>
                <w:sz w:val="28"/>
                <w:szCs w:val="28"/>
              </w:rPr>
              <w:t>本合格，59</w:t>
            </w:r>
            <w:r>
              <w:rPr>
                <w:rFonts w:hint="eastAsia" w:asciiTheme="majorEastAsia" w:hAnsiTheme="majorEastAsia" w:eastAsiaTheme="majorEastAsia" w:cstheme="majorEastAsia"/>
                <w:spacing w:val="7"/>
                <w:sz w:val="28"/>
                <w:szCs w:val="28"/>
                <w:lang w:val="en-US" w:eastAsia="zh-CN"/>
              </w:rPr>
              <w:t>-0</w:t>
            </w:r>
            <w:r>
              <w:rPr>
                <w:rFonts w:hint="eastAsia" w:asciiTheme="majorEastAsia" w:hAnsiTheme="majorEastAsia" w:eastAsiaTheme="majorEastAsia" w:cstheme="majorEastAsia"/>
                <w:spacing w:val="12"/>
                <w:sz w:val="28"/>
                <w:szCs w:val="28"/>
              </w:rPr>
              <w:t>为较差</w:t>
            </w:r>
          </w:p>
        </w:tc>
        <w:tc>
          <w:tcPr>
            <w:tcW w:w="1667" w:type="dxa"/>
            <w:vAlign w:val="center"/>
          </w:tcPr>
          <w:p w14:paraId="4D3E561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79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</w:tbl>
    <w:p w14:paraId="0DC23EE7">
      <w:pPr>
        <w:spacing w:before="1"/>
        <w:ind w:right="0"/>
        <w:jc w:val="left"/>
        <w:rPr>
          <w:sz w:val="21"/>
        </w:rPr>
        <w:sectPr>
          <w:footerReference r:id="rId5" w:type="default"/>
          <w:pgSz w:w="11910" w:h="16840"/>
          <w:pgMar w:top="2098" w:right="1474" w:bottom="1984" w:left="1587" w:header="0" w:footer="968" w:gutter="0"/>
          <w:pgNumType w:fmt="decimal"/>
          <w:cols w:space="720" w:num="1"/>
        </w:sectPr>
      </w:pPr>
    </w:p>
    <w:p w14:paraId="764545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nap ITC">
    <w:panose1 w:val="04040A07060A02020202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175AF">
    <w:pPr>
      <w:pStyle w:val="3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8A9439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8A9439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jMDIwNGJkYzQxODY1MDc4ZmJmMzBhMTcxNjBkOWEifQ=="/>
  </w:docVars>
  <w:rsids>
    <w:rsidRoot w:val="15876895"/>
    <w:rsid w:val="0E841ED8"/>
    <w:rsid w:val="15876895"/>
    <w:rsid w:val="217850BF"/>
    <w:rsid w:val="29CE6DE3"/>
    <w:rsid w:val="46236D21"/>
    <w:rsid w:val="6DB2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qFormat/>
    <w:uiPriority w:val="1"/>
    <w:pPr>
      <w:spacing w:before="222"/>
      <w:ind w:left="563" w:right="561"/>
      <w:jc w:val="center"/>
      <w:outlineLvl w:val="2"/>
    </w:pPr>
    <w:rPr>
      <w:rFonts w:ascii="仿宋" w:hAnsi="仿宋" w:eastAsia="仿宋" w:cs="仿宋"/>
      <w:b/>
      <w:bCs/>
      <w:sz w:val="32"/>
      <w:szCs w:val="32"/>
      <w:lang w:val="zh-CN" w:eastAsia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7">
    <w:name w:val="Table Paragraph"/>
    <w:basedOn w:val="1"/>
    <w:autoRedefine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315</Words>
  <Characters>333</Characters>
  <Lines>0</Lines>
  <Paragraphs>0</Paragraphs>
  <TotalTime>3</TotalTime>
  <ScaleCrop>false</ScaleCrop>
  <LinksUpToDate>false</LinksUpToDate>
  <CharactersWithSpaces>351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2024-05-10T07:33:00Z</dcterms:created>
  <dc:creator>啸风</dc:creator>
  <cp:lastModifiedBy>啸风</cp:lastModifiedBy>
  <dcterms:modified xsi:type="dcterms:W3CDTF">2025-12-04T01:35:22Z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695D3AE46B38430CA9185E85E401E65C_13</vt:lpwstr>
  </property>
  <property fmtid="{D5CDD505-2E9C-101B-9397-08002B2CF9AE}" pid="4" name="KSOTemplateDocerSaveRecord">
    <vt:lpwstr>eyJoZGlkIjoiNmZjMDIwNGJkYzQxODY1MDc4ZmJmMzBhMTcxNjBkOWEiLCJ1c2VySWQiOiIxMjAwMzUzNDA0In0=</vt:lpwstr>
  </property>
</Properties>
</file>