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61BEB">
      <w:pPr>
        <w:widowControl/>
        <w:spacing w:before="100" w:after="100" w:line="240" w:lineRule="atLeast"/>
        <w:jc w:val="both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 w:bidi="ar"/>
        </w:rPr>
        <w:t>附件3</w:t>
      </w:r>
    </w:p>
    <w:p w14:paraId="0AF975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  <w:t>吉利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bidi="ar"/>
        </w:rPr>
        <w:t>学院实验课程评估指标体系（试行）</w:t>
      </w:r>
    </w:p>
    <w:tbl>
      <w:tblPr>
        <w:tblStyle w:val="4"/>
        <w:tblW w:w="5387" w:type="pct"/>
        <w:tblInd w:w="-56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080"/>
        <w:gridCol w:w="1413"/>
        <w:gridCol w:w="2837"/>
        <w:gridCol w:w="2704"/>
      </w:tblGrid>
      <w:tr w14:paraId="6D9A1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Merge w:val="restart"/>
            <w:noWrap w:val="0"/>
            <w:vAlign w:val="center"/>
          </w:tcPr>
          <w:p w14:paraId="539BA74F">
            <w:pPr>
              <w:widowControl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588" w:type="pct"/>
            <w:vMerge w:val="restart"/>
            <w:noWrap w:val="0"/>
            <w:vAlign w:val="center"/>
          </w:tcPr>
          <w:p w14:paraId="6757E2F9">
            <w:pPr>
              <w:widowControl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769" w:type="pct"/>
            <w:vMerge w:val="restart"/>
            <w:noWrap w:val="0"/>
            <w:vAlign w:val="center"/>
          </w:tcPr>
          <w:p w14:paraId="3D771A3B">
            <w:pPr>
              <w:widowControl/>
              <w:spacing w:line="2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观测点</w:t>
            </w:r>
          </w:p>
        </w:tc>
        <w:tc>
          <w:tcPr>
            <w:tcW w:w="3016" w:type="pct"/>
            <w:gridSpan w:val="2"/>
            <w:noWrap w:val="0"/>
            <w:vAlign w:val="center"/>
          </w:tcPr>
          <w:p w14:paraId="640F3212">
            <w:pPr>
              <w:widowControl/>
              <w:spacing w:line="2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评估等级及标准</w:t>
            </w:r>
          </w:p>
        </w:tc>
      </w:tr>
      <w:tr w14:paraId="2F16E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25" w:type="pct"/>
            <w:vMerge w:val="continue"/>
            <w:noWrap w:val="0"/>
            <w:vAlign w:val="center"/>
          </w:tcPr>
          <w:p w14:paraId="180FD782">
            <w:pPr>
              <w:widowControl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588" w:type="pct"/>
            <w:vMerge w:val="continue"/>
            <w:noWrap w:val="0"/>
            <w:vAlign w:val="center"/>
          </w:tcPr>
          <w:p w14:paraId="6ACFCF8E">
            <w:pPr>
              <w:widowControl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769" w:type="pct"/>
            <w:vMerge w:val="continue"/>
            <w:noWrap w:val="0"/>
            <w:vAlign w:val="center"/>
          </w:tcPr>
          <w:p w14:paraId="6C2A912E">
            <w:pPr>
              <w:widowControl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544" w:type="pct"/>
            <w:noWrap w:val="0"/>
            <w:vAlign w:val="center"/>
          </w:tcPr>
          <w:p w14:paraId="3FA03A1E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A</w:t>
            </w:r>
          </w:p>
        </w:tc>
        <w:tc>
          <w:tcPr>
            <w:tcW w:w="1471" w:type="pct"/>
            <w:noWrap w:val="0"/>
            <w:vAlign w:val="center"/>
          </w:tcPr>
          <w:p w14:paraId="00C12E48">
            <w:pPr>
              <w:widowControl/>
              <w:spacing w:line="240" w:lineRule="exact"/>
              <w:contextualSpacing/>
              <w:jc w:val="center"/>
              <w:rPr>
                <w:rFonts w:hint="eastAsia" w:ascii="仿宋" w:hAnsi="仿宋" w:eastAsia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bidi="ar"/>
              </w:rPr>
              <w:t>C</w:t>
            </w:r>
          </w:p>
        </w:tc>
      </w:tr>
      <w:tr w14:paraId="593BB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Merge w:val="restart"/>
            <w:noWrap w:val="0"/>
            <w:vAlign w:val="center"/>
          </w:tcPr>
          <w:p w14:paraId="313FC539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一、课程定位（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588" w:type="pct"/>
            <w:vMerge w:val="restart"/>
            <w:noWrap w:val="0"/>
            <w:vAlign w:val="center"/>
          </w:tcPr>
          <w:p w14:paraId="3E42CE12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1.1课程目标定位（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69" w:type="pct"/>
            <w:noWrap w:val="0"/>
            <w:vAlign w:val="center"/>
          </w:tcPr>
          <w:p w14:paraId="05C8621F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课程目标与毕业要求支撑关系（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544" w:type="pct"/>
            <w:noWrap w:val="0"/>
            <w:vAlign w:val="center"/>
          </w:tcPr>
          <w:p w14:paraId="544100BF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符合学校办学定位和人才培养目标，坚持立德树人；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课程目标能精准支撑2项以上毕业要求指标点，并在教学活动中有效落实“立德树人”与“创新意识”培养，有明确佐证。</w:t>
            </w:r>
          </w:p>
        </w:tc>
        <w:tc>
          <w:tcPr>
            <w:tcW w:w="1471" w:type="pct"/>
            <w:noWrap w:val="0"/>
            <w:vAlign w:val="center"/>
          </w:tcPr>
          <w:p w14:paraId="4D609636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符合学校办学定位和人才培养目标；知识、能力、素质有机融合较好，课程目标和教案课件设计较合理，能够培养学生的实践动手能力。</w:t>
            </w:r>
          </w:p>
        </w:tc>
      </w:tr>
      <w:tr w14:paraId="7403F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Merge w:val="continue"/>
            <w:noWrap w:val="0"/>
            <w:vAlign w:val="center"/>
          </w:tcPr>
          <w:p w14:paraId="324ADCAA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588" w:type="pct"/>
            <w:vMerge w:val="continue"/>
            <w:noWrap w:val="0"/>
            <w:vAlign w:val="center"/>
          </w:tcPr>
          <w:p w14:paraId="3BD02225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69" w:type="pct"/>
            <w:shd w:val="clear" w:color="auto" w:fill="auto"/>
            <w:noWrap w:val="0"/>
            <w:vAlign w:val="center"/>
          </w:tcPr>
          <w:p w14:paraId="010D580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bidi="ar"/>
              </w:rPr>
              <w:t>四类课程目标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齐全明确</w:t>
            </w:r>
          </w:p>
          <w:p w14:paraId="0D377244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1分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1544" w:type="pct"/>
            <w:shd w:val="clear" w:color="auto" w:fill="auto"/>
            <w:noWrap w:val="0"/>
            <w:vAlign w:val="center"/>
          </w:tcPr>
          <w:p w14:paraId="273331AD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知识目标、能力目标、素质目标、思政目标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bidi="ar"/>
              </w:rPr>
              <w:t>四类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课程目标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bidi="ar"/>
              </w:rPr>
              <w:t>齐全、明确，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符合专业人才培养方案总体要求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引领作用显著。</w:t>
            </w:r>
          </w:p>
        </w:tc>
        <w:tc>
          <w:tcPr>
            <w:tcW w:w="1471" w:type="pct"/>
            <w:shd w:val="clear" w:color="auto" w:fill="auto"/>
            <w:noWrap w:val="0"/>
            <w:vAlign w:val="center"/>
          </w:tcPr>
          <w:p w14:paraId="2FDB38F7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知识目标、能力目标、素质目标、思政目标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bidi="ar"/>
              </w:rPr>
              <w:t>四类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课程目标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比较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bidi="ar"/>
              </w:rPr>
              <w:t>齐全、明确，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基本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符合专业人才培养方案总体要求</w:t>
            </w:r>
          </w:p>
        </w:tc>
      </w:tr>
      <w:tr w14:paraId="1BF62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Merge w:val="restart"/>
            <w:noWrap w:val="0"/>
            <w:vAlign w:val="center"/>
          </w:tcPr>
          <w:p w14:paraId="64F6E4C1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二、课程团队（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588" w:type="pct"/>
            <w:tcBorders>
              <w:bottom w:val="single" w:color="auto" w:sz="4" w:space="0"/>
            </w:tcBorders>
            <w:noWrap w:val="0"/>
            <w:vAlign w:val="center"/>
          </w:tcPr>
          <w:p w14:paraId="4FD4B4EE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2.1队伍结构（5分）</w:t>
            </w:r>
          </w:p>
        </w:tc>
        <w:tc>
          <w:tcPr>
            <w:tcW w:w="769" w:type="pct"/>
            <w:noWrap w:val="0"/>
            <w:vAlign w:val="center"/>
          </w:tcPr>
          <w:p w14:paraId="3CD7C24E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教师数量与结构（5分）</w:t>
            </w:r>
          </w:p>
        </w:tc>
        <w:tc>
          <w:tcPr>
            <w:tcW w:w="1544" w:type="pct"/>
            <w:noWrap w:val="0"/>
            <w:vAlign w:val="center"/>
          </w:tcPr>
          <w:p w14:paraId="7A28EE95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团队稳定高水平： 形成教学-科研互促的稳定团队，核心成员教学成果突出（如教改项目、获奖），师资结构（年龄、职称、学缘）合理优化。</w:t>
            </w:r>
          </w:p>
        </w:tc>
        <w:tc>
          <w:tcPr>
            <w:tcW w:w="1471" w:type="pct"/>
            <w:noWrap w:val="0"/>
            <w:vAlign w:val="center"/>
          </w:tcPr>
          <w:p w14:paraId="705F9CEC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建有实验教学队伍，</w:t>
            </w:r>
            <w:r>
              <w:rPr>
                <w:rFonts w:eastAsia="仿宋"/>
                <w:kern w:val="0"/>
                <w:szCs w:val="21"/>
              </w:rPr>
              <w:t>实验教学与理论教学队伍互通</w:t>
            </w:r>
          </w:p>
        </w:tc>
      </w:tr>
      <w:tr w14:paraId="09D7A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605ED15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3EE9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2.2教学研究（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分）</w:t>
            </w:r>
          </w:p>
          <w:p w14:paraId="5BC6DDDB">
            <w:pPr>
              <w:widowControl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69" w:type="pct"/>
            <w:tcBorders>
              <w:left w:val="single" w:color="auto" w:sz="4" w:space="0"/>
            </w:tcBorders>
            <w:noWrap w:val="0"/>
            <w:vAlign w:val="center"/>
          </w:tcPr>
          <w:p w14:paraId="762C8AA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教学研究（2分）</w:t>
            </w:r>
          </w:p>
        </w:tc>
        <w:tc>
          <w:tcPr>
            <w:tcW w:w="1544" w:type="pct"/>
            <w:noWrap w:val="0"/>
            <w:vAlign w:val="center"/>
          </w:tcPr>
          <w:p w14:paraId="7AB00D04">
            <w:pPr>
              <w:widowControl/>
              <w:jc w:val="left"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研究系统有成果： 系统持续开展教学研究，成果显著（如发表教研论文、获批高级别教改项目、出版实验教材），并有效应用于教学实践，改进效果明显。</w:t>
            </w:r>
          </w:p>
        </w:tc>
        <w:tc>
          <w:tcPr>
            <w:tcW w:w="1471" w:type="pct"/>
            <w:noWrap w:val="0"/>
            <w:vAlign w:val="center"/>
          </w:tcPr>
          <w:p w14:paraId="59D4C56F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eastAsia="仿宋"/>
                <w:kern w:val="0"/>
                <w:szCs w:val="21"/>
              </w:rPr>
              <w:t>实验项目选择、实验方案设计有利于启发学生科学思维和创新意识</w:t>
            </w:r>
            <w:r>
              <w:rPr>
                <w:rFonts w:hint="eastAsia" w:eastAsia="仿宋"/>
                <w:kern w:val="0"/>
                <w:szCs w:val="21"/>
              </w:rPr>
              <w:t>，</w:t>
            </w:r>
            <w:r>
              <w:rPr>
                <w:rFonts w:eastAsia="仿宋"/>
                <w:kern w:val="0"/>
                <w:szCs w:val="21"/>
              </w:rPr>
              <w:t>开展教学体系、教学内容、教学方法、教学组织、教学评估等研究</w:t>
            </w:r>
            <w:r>
              <w:rPr>
                <w:rFonts w:hint="eastAsia" w:eastAsia="仿宋"/>
                <w:kern w:val="0"/>
                <w:szCs w:val="21"/>
              </w:rPr>
              <w:t>活动</w:t>
            </w:r>
          </w:p>
        </w:tc>
      </w:tr>
      <w:tr w14:paraId="5BB25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625" w:type="pct"/>
            <w:vMerge w:val="restart"/>
            <w:noWrap w:val="0"/>
            <w:vAlign w:val="center"/>
          </w:tcPr>
          <w:p w14:paraId="1D88200D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三、教学准备（1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58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45D52CA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3.1教学文件（10）</w:t>
            </w:r>
          </w:p>
        </w:tc>
        <w:tc>
          <w:tcPr>
            <w:tcW w:w="769" w:type="pct"/>
            <w:noWrap w:val="0"/>
            <w:vAlign w:val="center"/>
          </w:tcPr>
          <w:p w14:paraId="678B4F43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教学资料（6）</w:t>
            </w:r>
          </w:p>
        </w:tc>
        <w:tc>
          <w:tcPr>
            <w:tcW w:w="1544" w:type="pct"/>
            <w:noWrap w:val="0"/>
            <w:vAlign w:val="center"/>
          </w:tcPr>
          <w:p w14:paraId="7C4F823B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en-US" w:eastAsia="zh-CN" w:bidi="ar"/>
              </w:rPr>
              <w:t>文件先进规范： 教学大纲及时修订，充分体现教改新理念；实验指导书特色鲜明，融入最新科研成果；</w:t>
            </w:r>
          </w:p>
        </w:tc>
        <w:tc>
          <w:tcPr>
            <w:tcW w:w="1471" w:type="pct"/>
            <w:noWrap w:val="0"/>
            <w:vAlign w:val="center"/>
          </w:tcPr>
          <w:p w14:paraId="7BD9519F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有规范完备的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实验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教学大纲，定期修改完善；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实验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教材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或指导书（讲义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选用符合学校规定，有相应的教学计划和课表</w:t>
            </w:r>
          </w:p>
        </w:tc>
      </w:tr>
      <w:tr w14:paraId="381BC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25" w:type="pct"/>
            <w:vMerge w:val="continue"/>
            <w:noWrap w:val="0"/>
            <w:vAlign w:val="center"/>
          </w:tcPr>
          <w:p w14:paraId="45E8F929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588" w:type="pct"/>
            <w:vMerge w:val="continue"/>
            <w:noWrap w:val="0"/>
            <w:vAlign w:val="center"/>
          </w:tcPr>
          <w:p w14:paraId="7FA4CC95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69" w:type="pct"/>
            <w:noWrap w:val="0"/>
            <w:vAlign w:val="center"/>
          </w:tcPr>
          <w:p w14:paraId="13D6A8A1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规章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制度（4）</w:t>
            </w:r>
          </w:p>
        </w:tc>
        <w:tc>
          <w:tcPr>
            <w:tcW w:w="1544" w:type="pct"/>
            <w:noWrap w:val="0"/>
            <w:vAlign w:val="center"/>
          </w:tcPr>
          <w:p w14:paraId="1713676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制度健全执行严： 规章制度健全且成体系，执行过程记录详实（如安全检查记录、设备使用日志），管理高效规范。</w:t>
            </w:r>
          </w:p>
        </w:tc>
        <w:tc>
          <w:tcPr>
            <w:tcW w:w="1471" w:type="pct"/>
            <w:noWrap w:val="0"/>
            <w:vAlign w:val="center"/>
          </w:tcPr>
          <w:p w14:paraId="57C7D5E7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制定规划、计划和实验教学制度的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基本得到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执行落实</w:t>
            </w:r>
          </w:p>
        </w:tc>
      </w:tr>
    </w:tbl>
    <w:p w14:paraId="2AA2469D">
      <w:pPr>
        <w:widowControl/>
        <w:spacing w:line="240" w:lineRule="exact"/>
        <w:contextualSpacing/>
        <w:rPr>
          <w:rFonts w:hint="eastAsia" w:ascii="Times New Roman" w:hAnsi="Times New Roman" w:eastAsia="仿宋"/>
          <w:kern w:val="0"/>
          <w:szCs w:val="21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292" w:type="pct"/>
        <w:tblInd w:w="-4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081"/>
        <w:gridCol w:w="1413"/>
        <w:gridCol w:w="2837"/>
        <w:gridCol w:w="2700"/>
      </w:tblGrid>
      <w:tr w14:paraId="71F77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pct"/>
            <w:vMerge w:val="restart"/>
            <w:noWrap w:val="0"/>
            <w:vAlign w:val="center"/>
          </w:tcPr>
          <w:p w14:paraId="4F3F06D9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599" w:type="pct"/>
            <w:vMerge w:val="restart"/>
            <w:noWrap w:val="0"/>
            <w:vAlign w:val="center"/>
          </w:tcPr>
          <w:p w14:paraId="474817C3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3.2条件保障（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783" w:type="pct"/>
            <w:noWrap w:val="0"/>
            <w:vAlign w:val="center"/>
          </w:tcPr>
          <w:p w14:paraId="6C266ED8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场所、设施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与安全（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572" w:type="pct"/>
            <w:noWrap w:val="0"/>
            <w:vAlign w:val="center"/>
          </w:tcPr>
          <w:p w14:paraId="0BDF0C3F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  <w:lang w:val="en-US" w:eastAsia="zh-CN" w:bidi="ar"/>
              </w:rPr>
              <w:t>安全文化浓厚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： 安全责任体系层层落实；环境设施人性化、智能化；安全教育形式多样、全员覆盖；应急演练定期开展、记录完整。</w:t>
            </w:r>
          </w:p>
        </w:tc>
        <w:tc>
          <w:tcPr>
            <w:tcW w:w="1496" w:type="pct"/>
            <w:noWrap w:val="0"/>
            <w:vAlign w:val="center"/>
          </w:tcPr>
          <w:p w14:paraId="09CA4045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有安全责任体系；实验室整洁卫生，开展了师生安全教育</w:t>
            </w:r>
          </w:p>
        </w:tc>
      </w:tr>
      <w:tr w14:paraId="28CE5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48" w:type="pct"/>
            <w:vMerge w:val="continue"/>
            <w:noWrap w:val="0"/>
            <w:vAlign w:val="center"/>
          </w:tcPr>
          <w:p w14:paraId="47DF6424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 w14:paraId="2584217E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83" w:type="pct"/>
            <w:noWrap w:val="0"/>
            <w:vAlign w:val="center"/>
          </w:tcPr>
          <w:p w14:paraId="311D3462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教学准备（</w:t>
            </w: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5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572" w:type="pct"/>
            <w:noWrap w:val="0"/>
            <w:vAlign w:val="center"/>
          </w:tcPr>
          <w:p w14:paraId="1F2BAC7D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  <w:lang w:val="en-US" w:eastAsia="zh-CN" w:bidi="ar"/>
              </w:rPr>
              <w:t>准备精细充分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教师备课需深入分析实验教学重点与难点，设计启发性问题链与安全风险预案；实验设备状态经过优化校准，关键仪器有备用方案；实施学生预习考核机制且记录完整；开课前完成预实验并详细记录过程数据；针对学生能力差异设计分层教学指导方案，有效支持探究性教学开展。</w:t>
            </w:r>
          </w:p>
        </w:tc>
        <w:tc>
          <w:tcPr>
            <w:tcW w:w="1496" w:type="pct"/>
            <w:noWrap w:val="0"/>
            <w:vAlign w:val="center"/>
          </w:tcPr>
          <w:p w14:paraId="1FF92199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Cs w:val="21"/>
                <w:lang w:val="en-US" w:eastAsia="zh-CN" w:bidi="ar"/>
              </w:rPr>
              <w:t>准备基本到位：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教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案内容完整且符合教学规范；实验设备状态完好，耗材数量充足、质量合规；基础安全防护措施到位；对学生预习有明确要求并可查验；能够保障实验课程按时按规顺利开展。</w:t>
            </w:r>
          </w:p>
        </w:tc>
      </w:tr>
      <w:tr w14:paraId="1AB9D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548" w:type="pct"/>
            <w:vMerge w:val="restart"/>
            <w:noWrap w:val="0"/>
            <w:vAlign w:val="center"/>
          </w:tcPr>
          <w:p w14:paraId="3974F3FD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四、实验过程（3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599" w:type="pct"/>
            <w:noWrap w:val="0"/>
            <w:vAlign w:val="center"/>
          </w:tcPr>
          <w:p w14:paraId="01B54C03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4.1实验指导（6分）</w:t>
            </w:r>
          </w:p>
        </w:tc>
        <w:tc>
          <w:tcPr>
            <w:tcW w:w="783" w:type="pct"/>
            <w:noWrap w:val="0"/>
            <w:vAlign w:val="center"/>
          </w:tcPr>
          <w:p w14:paraId="2EA5BF8B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实验指导（6）</w:t>
            </w:r>
          </w:p>
        </w:tc>
        <w:tc>
          <w:tcPr>
            <w:tcW w:w="1572" w:type="pct"/>
            <w:noWrap w:val="0"/>
            <w:vAlign w:val="center"/>
          </w:tcPr>
          <w:p w14:paraId="2F30E9A6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指导娴熟高效： 讲解清晰、富有启发性；能主动发现并精准指导学生问题；课堂互动频繁、气氛活跃；全程投入，严守教学纪律。</w:t>
            </w:r>
          </w:p>
        </w:tc>
        <w:tc>
          <w:tcPr>
            <w:tcW w:w="1496" w:type="pct"/>
            <w:noWrap w:val="0"/>
            <w:vAlign w:val="center"/>
          </w:tcPr>
          <w:p w14:paraId="465B2FF8">
            <w:pPr>
              <w:widowControl/>
              <w:spacing w:line="240" w:lineRule="exact"/>
              <w:contextualSpacing/>
              <w:rPr>
                <w:rFonts w:hint="default" w:ascii="Times New Roman" w:hAnsi="Times New Roman" w:eastAsia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讲解清楚准确，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帮助学生排查实验过程中出现的问题并给与解答，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实验教学纪律、考勤较严格</w:t>
            </w:r>
          </w:p>
        </w:tc>
      </w:tr>
      <w:tr w14:paraId="37794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548" w:type="pct"/>
            <w:vMerge w:val="continue"/>
            <w:noWrap w:val="0"/>
            <w:vAlign w:val="center"/>
          </w:tcPr>
          <w:p w14:paraId="3F23D55A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599" w:type="pct"/>
            <w:vMerge w:val="restart"/>
            <w:noWrap w:val="0"/>
            <w:vAlign w:val="center"/>
          </w:tcPr>
          <w:p w14:paraId="4024F0B6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4.2教学内容（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分）</w:t>
            </w:r>
          </w:p>
          <w:p w14:paraId="62F512C6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83" w:type="pct"/>
            <w:noWrap w:val="0"/>
            <w:vAlign w:val="center"/>
          </w:tcPr>
          <w:p w14:paraId="2A8C7DAE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实验项目（1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572" w:type="pct"/>
            <w:noWrap w:val="0"/>
            <w:vAlign w:val="center"/>
          </w:tcPr>
          <w:p w14:paraId="514636C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符合本专业培养目标及专业特点的要求，符合实验教学大纲对能力培养的要求，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高质量开出各类实验项目，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实验类型多样化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综合性、设计性、研究性、创新性实验项目所占比例≥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0%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持续更新，能显著培养学生创新思维。</w:t>
            </w:r>
          </w:p>
        </w:tc>
        <w:tc>
          <w:tcPr>
            <w:tcW w:w="1496" w:type="pct"/>
            <w:noWrap w:val="0"/>
            <w:vAlign w:val="center"/>
          </w:tcPr>
          <w:p w14:paraId="529C0C94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符合本专业培养目标及专业特点的要求，符合实验教学大纲对能力培养的要求，综合性、设计性、研究性、创新性实验项目所占比例达到10%</w:t>
            </w:r>
          </w:p>
        </w:tc>
      </w:tr>
      <w:tr w14:paraId="0E39C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pct"/>
            <w:vMerge w:val="continue"/>
            <w:noWrap w:val="0"/>
            <w:vAlign w:val="center"/>
          </w:tcPr>
          <w:p w14:paraId="524DAB89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599" w:type="pct"/>
            <w:vMerge w:val="continue"/>
            <w:noWrap w:val="0"/>
            <w:vAlign w:val="center"/>
          </w:tcPr>
          <w:p w14:paraId="1B9CCCD4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783" w:type="pct"/>
            <w:noWrap w:val="0"/>
            <w:vAlign w:val="center"/>
          </w:tcPr>
          <w:p w14:paraId="70E4B607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实验项目开出率（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572" w:type="pct"/>
            <w:noWrap w:val="0"/>
            <w:vAlign w:val="center"/>
          </w:tcPr>
          <w:p w14:paraId="3FB503BF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项目开出率: K=实际已开出实验项目数/教学计划中列出实验项目数</w:t>
            </w:r>
            <w:r>
              <w:rPr>
                <w:rFonts w:ascii="Arial" w:hAnsi="Arial" w:eastAsia="仿宋" w:cs="Arial"/>
                <w:kern w:val="0"/>
                <w:szCs w:val="21"/>
                <w:lang w:bidi="ar"/>
              </w:rPr>
              <w:t>×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 xml:space="preserve"> 100%≥95%</w:t>
            </w:r>
          </w:p>
        </w:tc>
        <w:tc>
          <w:tcPr>
            <w:tcW w:w="1496" w:type="pct"/>
            <w:noWrap w:val="0"/>
            <w:vAlign w:val="center"/>
          </w:tcPr>
          <w:p w14:paraId="2E1F3EE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85%≤K&lt;90 %</w:t>
            </w:r>
          </w:p>
        </w:tc>
      </w:tr>
      <w:tr w14:paraId="69A6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pct"/>
            <w:vMerge w:val="continue"/>
            <w:noWrap w:val="0"/>
            <w:vAlign w:val="center"/>
          </w:tcPr>
          <w:p w14:paraId="0AE04EA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599" w:type="pct"/>
            <w:noWrap w:val="0"/>
            <w:vAlign w:val="center"/>
          </w:tcPr>
          <w:p w14:paraId="0FA31FBD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4.3实验效果（</w:t>
            </w: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10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）</w:t>
            </w:r>
          </w:p>
        </w:tc>
        <w:tc>
          <w:tcPr>
            <w:tcW w:w="783" w:type="pct"/>
            <w:noWrap w:val="0"/>
            <w:vAlign w:val="center"/>
          </w:tcPr>
          <w:p w14:paraId="4183D1AE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实验效果（</w:t>
            </w: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10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）</w:t>
            </w:r>
          </w:p>
        </w:tc>
        <w:tc>
          <w:tcPr>
            <w:tcW w:w="1572" w:type="pct"/>
            <w:noWrap w:val="0"/>
            <w:vAlign w:val="center"/>
          </w:tcPr>
          <w:p w14:paraId="6F535B4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效果显著： 课堂气氛活跃，学生专注度高；学生操作规范、熟练；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学生得到充分训练，D=能独立完成实验内容的学生数/参加实验的学生数</w:t>
            </w:r>
            <w:r>
              <w:rPr>
                <w:rFonts w:ascii="Arial" w:hAnsi="Arial" w:eastAsia="仿宋" w:cs="Arial"/>
                <w:kern w:val="0"/>
                <w:szCs w:val="21"/>
                <w:lang w:bidi="ar"/>
              </w:rPr>
              <w:t>×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 xml:space="preserve"> 100%≥80%</w:t>
            </w:r>
          </w:p>
        </w:tc>
        <w:tc>
          <w:tcPr>
            <w:tcW w:w="1496" w:type="pct"/>
            <w:noWrap w:val="0"/>
            <w:vAlign w:val="center"/>
          </w:tcPr>
          <w:p w14:paraId="2AB5B373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完成教学任务，学生得到一定的训练，学生独立操作能力一般，60%≤D&lt;70%</w:t>
            </w:r>
          </w:p>
        </w:tc>
      </w:tr>
      <w:tr w14:paraId="009D1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pct"/>
            <w:vMerge w:val="restart"/>
            <w:noWrap w:val="0"/>
            <w:vAlign w:val="center"/>
          </w:tcPr>
          <w:p w14:paraId="1B49AF71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五、实验报告与实验记录（5）</w:t>
            </w:r>
          </w:p>
        </w:tc>
        <w:tc>
          <w:tcPr>
            <w:tcW w:w="599" w:type="pct"/>
            <w:noWrap w:val="0"/>
            <w:vAlign w:val="center"/>
          </w:tcPr>
          <w:p w14:paraId="605F86E6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5.1实验报告（3）</w:t>
            </w:r>
          </w:p>
        </w:tc>
        <w:tc>
          <w:tcPr>
            <w:tcW w:w="783" w:type="pct"/>
            <w:noWrap w:val="0"/>
            <w:vAlign w:val="center"/>
          </w:tcPr>
          <w:p w14:paraId="3B8CC09D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学生实验报告（3）</w:t>
            </w:r>
          </w:p>
        </w:tc>
        <w:tc>
          <w:tcPr>
            <w:tcW w:w="1572" w:type="pct"/>
            <w:noWrap w:val="0"/>
            <w:vAlign w:val="center"/>
          </w:tcPr>
          <w:p w14:paraId="4B10C04E">
            <w:pPr>
              <w:widowControl/>
              <w:adjustRightInd w:val="0"/>
              <w:snapToGrid w:val="0"/>
              <w:spacing w:line="240" w:lineRule="exact"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根据专业特点制定科学、合理的实验报告模版；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 报告模板科学合理；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学生报告填写规范、内容完整、数据真实；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教师批阅认真、有针对性评语；能有效促进学生反思；归档齐全规范。</w:t>
            </w:r>
          </w:p>
        </w:tc>
        <w:tc>
          <w:tcPr>
            <w:tcW w:w="1496" w:type="pct"/>
            <w:noWrap w:val="0"/>
            <w:vAlign w:val="center"/>
          </w:tcPr>
          <w:p w14:paraId="73B8AF93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有实验报告模版，学生填写实验报告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基本规范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，教师批改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能够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促进学生学习的效度；有实验报告抽样</w:t>
            </w:r>
          </w:p>
        </w:tc>
      </w:tr>
      <w:tr w14:paraId="74194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pct"/>
            <w:vMerge w:val="continue"/>
            <w:noWrap w:val="0"/>
            <w:vAlign w:val="center"/>
          </w:tcPr>
          <w:p w14:paraId="5655F8B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599" w:type="pct"/>
            <w:noWrap w:val="0"/>
            <w:vAlign w:val="center"/>
          </w:tcPr>
          <w:p w14:paraId="7DCA0E4F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5.2实验记录（2）</w:t>
            </w:r>
          </w:p>
        </w:tc>
        <w:tc>
          <w:tcPr>
            <w:tcW w:w="783" w:type="pct"/>
            <w:noWrap w:val="0"/>
            <w:vAlign w:val="center"/>
          </w:tcPr>
          <w:p w14:paraId="12B23F81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实验室运行记录（2）</w:t>
            </w:r>
          </w:p>
        </w:tc>
        <w:tc>
          <w:tcPr>
            <w:tcW w:w="1572" w:type="pct"/>
            <w:noWrap w:val="0"/>
            <w:vAlign w:val="center"/>
          </w:tcPr>
          <w:p w14:paraId="5D62FB5F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en-US" w:eastAsia="zh-CN" w:bidi="ar"/>
              </w:rPr>
              <w:t>记录详实规范： 《实验室运行记录》填写及时、完整、规范，能真实反映实验教学全过程，存档管理有序。</w:t>
            </w:r>
          </w:p>
        </w:tc>
        <w:tc>
          <w:tcPr>
            <w:tcW w:w="1496" w:type="pct"/>
            <w:noWrap w:val="0"/>
            <w:vAlign w:val="center"/>
          </w:tcPr>
          <w:p w14:paraId="6F399D47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en-US" w:eastAsia="zh-CN" w:bidi="ar"/>
              </w:rPr>
              <w:t>记录完整： 有运行记录，填写基本规范，存档管理基本到位</w:t>
            </w:r>
          </w:p>
        </w:tc>
      </w:tr>
      <w:tr w14:paraId="135F4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548" w:type="pct"/>
            <w:vMerge w:val="restart"/>
            <w:noWrap w:val="0"/>
            <w:vAlign w:val="center"/>
          </w:tcPr>
          <w:p w14:paraId="0D1E57C2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六、考核与成绩（12分）</w:t>
            </w:r>
          </w:p>
        </w:tc>
        <w:tc>
          <w:tcPr>
            <w:tcW w:w="599" w:type="pct"/>
            <w:noWrap w:val="0"/>
            <w:vAlign w:val="center"/>
          </w:tcPr>
          <w:p w14:paraId="2AADC7CF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6.1考核（7分）</w:t>
            </w:r>
          </w:p>
        </w:tc>
        <w:tc>
          <w:tcPr>
            <w:tcW w:w="783" w:type="pct"/>
            <w:noWrap w:val="0"/>
            <w:vAlign w:val="center"/>
          </w:tcPr>
          <w:p w14:paraId="27A62401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考核方式（7分）</w:t>
            </w:r>
          </w:p>
        </w:tc>
        <w:tc>
          <w:tcPr>
            <w:tcW w:w="1572" w:type="pct"/>
            <w:noWrap w:val="0"/>
            <w:vAlign w:val="center"/>
          </w:tcPr>
          <w:p w14:paraId="20A8C6F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en-US" w:eastAsia="zh-CN" w:bidi="ar"/>
              </w:rPr>
              <w:t>考核科学多元： 有创新性的、多元化的考核方案（如操作、答辩、设计等），能有效激发学生潜能，考核分析深入，持续改进教学。</w:t>
            </w:r>
          </w:p>
        </w:tc>
        <w:tc>
          <w:tcPr>
            <w:tcW w:w="1496" w:type="pct"/>
            <w:noWrap w:val="0"/>
            <w:vAlign w:val="center"/>
          </w:tcPr>
          <w:p w14:paraId="5FCE9D86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有考核方案和考核评分标准，对学生进行实验技能测试</w:t>
            </w:r>
          </w:p>
        </w:tc>
      </w:tr>
      <w:tr w14:paraId="6241D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48" w:type="pct"/>
            <w:vMerge w:val="continue"/>
            <w:noWrap w:val="0"/>
            <w:vAlign w:val="center"/>
          </w:tcPr>
          <w:p w14:paraId="45D2B725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599" w:type="pct"/>
            <w:noWrap w:val="0"/>
            <w:vAlign w:val="center"/>
          </w:tcPr>
          <w:p w14:paraId="25E98AEB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6.2成绩（5分）</w:t>
            </w:r>
          </w:p>
        </w:tc>
        <w:tc>
          <w:tcPr>
            <w:tcW w:w="783" w:type="pct"/>
            <w:noWrap w:val="0"/>
            <w:vAlign w:val="center"/>
          </w:tcPr>
          <w:p w14:paraId="7EBF72CA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成绩评定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、记分册成绩（5分）</w:t>
            </w:r>
          </w:p>
        </w:tc>
        <w:tc>
          <w:tcPr>
            <w:tcW w:w="1572" w:type="pct"/>
            <w:noWrap w:val="0"/>
            <w:vAlign w:val="center"/>
          </w:tcPr>
          <w:p w14:paraId="235C4CE1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能全面反映学生能力，评分尺度把握严格、公正，记分册记载清晰、无涂改，归档及时。</w:t>
            </w:r>
          </w:p>
        </w:tc>
        <w:tc>
          <w:tcPr>
            <w:tcW w:w="1496" w:type="pct"/>
            <w:noWrap w:val="0"/>
            <w:vAlign w:val="center"/>
          </w:tcPr>
          <w:p w14:paraId="2FC339E2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学生的实验成绩评定基本客观</w:t>
            </w:r>
          </w:p>
        </w:tc>
      </w:tr>
      <w:tr w14:paraId="4D98F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pct"/>
            <w:vMerge w:val="restart"/>
            <w:noWrap w:val="0"/>
            <w:vAlign w:val="center"/>
          </w:tcPr>
          <w:p w14:paraId="24BAF88E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七、教学效果（10分）</w:t>
            </w:r>
          </w:p>
        </w:tc>
        <w:tc>
          <w:tcPr>
            <w:tcW w:w="599" w:type="pct"/>
            <w:noWrap w:val="0"/>
            <w:vAlign w:val="center"/>
          </w:tcPr>
          <w:p w14:paraId="63600F1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7.1同行与督导评价（4分）</w:t>
            </w:r>
          </w:p>
        </w:tc>
        <w:tc>
          <w:tcPr>
            <w:tcW w:w="783" w:type="pct"/>
            <w:noWrap w:val="0"/>
            <w:vAlign w:val="center"/>
          </w:tcPr>
          <w:p w14:paraId="7DF8CC9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同行与督导评价（4分）</w:t>
            </w:r>
          </w:p>
        </w:tc>
        <w:tc>
          <w:tcPr>
            <w:tcW w:w="1572" w:type="pct"/>
            <w:noWrap w:val="0"/>
            <w:vAlign w:val="center"/>
          </w:tcPr>
          <w:p w14:paraId="3DA549EC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 xml:space="preserve">学院教师同行评价高，均在良好以上； </w:t>
            </w:r>
          </w:p>
          <w:p w14:paraId="2F60410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教学督导评价情况好，均在良好以上。</w:t>
            </w:r>
          </w:p>
        </w:tc>
        <w:tc>
          <w:tcPr>
            <w:tcW w:w="1496" w:type="pct"/>
            <w:noWrap w:val="0"/>
            <w:vAlign w:val="center"/>
          </w:tcPr>
          <w:p w14:paraId="065B86E8">
            <w:pPr>
              <w:widowControl/>
              <w:spacing w:line="240" w:lineRule="exact"/>
              <w:contextualSpacing/>
              <w:jc w:val="left"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近两年该课程同行督导评价成绩在全院排名40-60%</w:t>
            </w:r>
          </w:p>
        </w:tc>
      </w:tr>
      <w:tr w14:paraId="41896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pct"/>
            <w:vMerge w:val="continue"/>
            <w:noWrap w:val="0"/>
            <w:vAlign w:val="center"/>
          </w:tcPr>
          <w:p w14:paraId="24A63D3B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599" w:type="pct"/>
            <w:noWrap w:val="0"/>
            <w:vAlign w:val="center"/>
          </w:tcPr>
          <w:p w14:paraId="5A788EBE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7.2学生评价（4分）</w:t>
            </w:r>
          </w:p>
        </w:tc>
        <w:tc>
          <w:tcPr>
            <w:tcW w:w="783" w:type="pct"/>
            <w:noWrap w:val="0"/>
            <w:vAlign w:val="center"/>
          </w:tcPr>
          <w:p w14:paraId="1C81F0BA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学生评价（4分）</w:t>
            </w:r>
          </w:p>
        </w:tc>
        <w:tc>
          <w:tcPr>
            <w:tcW w:w="1572" w:type="pct"/>
            <w:noWrap w:val="0"/>
            <w:vAlign w:val="center"/>
          </w:tcPr>
          <w:p w14:paraId="4B9BEB66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近两年该课程主讲教师的学生评价成绩在全院排名前20%</w:t>
            </w:r>
          </w:p>
        </w:tc>
        <w:tc>
          <w:tcPr>
            <w:tcW w:w="1496" w:type="pct"/>
            <w:noWrap w:val="0"/>
            <w:vAlign w:val="center"/>
          </w:tcPr>
          <w:p w14:paraId="66791373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近两年该课程主讲教师的学生评价成绩在全院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排名40-60%</w:t>
            </w:r>
          </w:p>
        </w:tc>
      </w:tr>
      <w:tr w14:paraId="5397E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pct"/>
            <w:vMerge w:val="continue"/>
            <w:noWrap w:val="0"/>
            <w:vAlign w:val="center"/>
          </w:tcPr>
          <w:p w14:paraId="350C858D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</w:p>
        </w:tc>
        <w:tc>
          <w:tcPr>
            <w:tcW w:w="599" w:type="pct"/>
            <w:noWrap w:val="0"/>
            <w:vAlign w:val="center"/>
          </w:tcPr>
          <w:p w14:paraId="0A7781EA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7.3考试成绩（2分）</w:t>
            </w:r>
          </w:p>
        </w:tc>
        <w:tc>
          <w:tcPr>
            <w:tcW w:w="783" w:type="pct"/>
            <w:noWrap w:val="0"/>
            <w:vAlign w:val="center"/>
          </w:tcPr>
          <w:p w14:paraId="412A7370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学生考试成绩（2分）</w:t>
            </w:r>
          </w:p>
        </w:tc>
        <w:tc>
          <w:tcPr>
            <w:tcW w:w="1572" w:type="pct"/>
            <w:noWrap w:val="0"/>
            <w:vAlign w:val="center"/>
          </w:tcPr>
          <w:p w14:paraId="4DEFFACD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学生期末考试成绩分布合理，优秀率（90分以上）、不及格率均不高于15%，且与平时成绩匹配度高</w:t>
            </w:r>
          </w:p>
        </w:tc>
        <w:tc>
          <w:tcPr>
            <w:tcW w:w="1496" w:type="pct"/>
            <w:noWrap w:val="0"/>
            <w:vAlign w:val="center"/>
          </w:tcPr>
          <w:p w14:paraId="451BE50F">
            <w:pPr>
              <w:widowControl/>
              <w:spacing w:line="240" w:lineRule="exact"/>
              <w:contextualSpacing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学生期末考试成绩分布基本合理，不及格率不高于20%，且与平时成绩基本匹配</w:t>
            </w:r>
          </w:p>
        </w:tc>
      </w:tr>
      <w:tr w14:paraId="36BE3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pct"/>
            <w:noWrap w:val="0"/>
            <w:vAlign w:val="center"/>
          </w:tcPr>
          <w:p w14:paraId="2CCF14DA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八、特色项目（6分）</w:t>
            </w:r>
          </w:p>
        </w:tc>
        <w:tc>
          <w:tcPr>
            <w:tcW w:w="599" w:type="pct"/>
            <w:noWrap w:val="0"/>
            <w:vAlign w:val="center"/>
          </w:tcPr>
          <w:p w14:paraId="414C807A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8.1课程特色（6分）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 w14:paraId="1AFDBBE4">
            <w:pPr>
              <w:widowControl/>
              <w:spacing w:line="240" w:lineRule="exact"/>
              <w:contextualSpacing/>
              <w:rPr>
                <w:rFonts w:hint="eastAsia" w:ascii="Times New Roman" w:hAnsi="Times New Roman" w:eastAsia="仿宋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根据《吉利学院课程建设质量标准》，</w:t>
            </w:r>
            <w:r>
              <w:rPr>
                <w:rFonts w:hint="default" w:ascii="Times New Roman" w:hAnsi="Times New Roman" w:eastAsia="仿宋"/>
                <w:kern w:val="0"/>
                <w:szCs w:val="21"/>
                <w:lang w:val="en-US" w:eastAsia="zh-CN" w:bidi="ar"/>
              </w:rPr>
              <w:t>特色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仿宋"/>
                <w:kern w:val="0"/>
                <w:szCs w:val="21"/>
                <w:lang w:val="en-US" w:eastAsia="zh-CN" w:bidi="ar"/>
              </w:rPr>
              <w:t>应体现课程建设的创新性与示范性，可包括但不限于：产教融合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/>
                <w:kern w:val="0"/>
                <w:szCs w:val="21"/>
                <w:lang w:val="en-US" w:eastAsia="zh-CN" w:bidi="ar"/>
              </w:rPr>
              <w:t>将行业真实项目、案例与实践融入教学，形成“真题真做、实境实学”模式，取得实质应用成果（如专利、竞赛获奖、项目孵化等）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/>
                <w:kern w:val="0"/>
                <w:szCs w:val="21"/>
                <w:lang w:val="en-US" w:eastAsia="zh-CN" w:bidi="ar"/>
              </w:rPr>
              <w:t>教学模式创新：跨学科融合：高水平学术导向：数字化与智能化建设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 w:bidi="ar"/>
              </w:rPr>
              <w:t>等，且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特色鲜明，效果显著，评估专家根据课程自评报告酌情给0-6分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eastAsia="zh-CN" w:bidi="ar"/>
              </w:rPr>
              <w:t>。</w:t>
            </w:r>
          </w:p>
        </w:tc>
      </w:tr>
    </w:tbl>
    <w:p w14:paraId="64EACB77">
      <w:pPr>
        <w:widowControl/>
        <w:spacing w:before="100" w:after="100" w:line="240" w:lineRule="atLeast"/>
        <w:rPr>
          <w:rFonts w:hint="eastAsia" w:ascii="Times New Roman" w:hAnsi="Times New Roman" w:eastAsia="仿宋"/>
          <w:kern w:val="0"/>
          <w:szCs w:val="21"/>
          <w:lang w:eastAsia="zh-CN" w:bidi="ar"/>
        </w:rPr>
      </w:pPr>
      <w:r>
        <w:rPr>
          <w:rFonts w:hint="eastAsia" w:ascii="Times New Roman" w:hAnsi="Times New Roman" w:eastAsia="仿宋"/>
          <w:kern w:val="0"/>
          <w:szCs w:val="21"/>
          <w:lang w:bidi="ar"/>
        </w:rPr>
        <w:t>（注：每个观测点打分选项有ABCD，每个选项赋分=该观测点满分值</w:t>
      </w:r>
      <w:r>
        <w:rPr>
          <w:rFonts w:ascii="Arial" w:hAnsi="Arial" w:eastAsia="仿宋" w:cs="Arial"/>
          <w:kern w:val="0"/>
          <w:szCs w:val="21"/>
          <w:lang w:bidi="ar"/>
        </w:rPr>
        <w:t>×</w:t>
      </w:r>
      <w:r>
        <w:rPr>
          <w:rFonts w:hint="eastAsia" w:ascii="Times New Roman" w:hAnsi="Times New Roman" w:eastAsia="仿宋"/>
          <w:kern w:val="0"/>
          <w:szCs w:val="21"/>
          <w:lang w:bidi="ar"/>
        </w:rPr>
        <w:t>权重系数，A、B、C、D级权重系数分别为1，0.8，0.6，0.4。</w:t>
      </w:r>
      <w:r>
        <w:rPr>
          <w:rFonts w:hint="eastAsia" w:ascii="Times New Roman" w:hAnsi="Times New Roman" w:eastAsia="仿宋"/>
          <w:kern w:val="0"/>
          <w:szCs w:val="21"/>
          <w:lang w:eastAsia="zh-CN" w:bidi="ar"/>
        </w:rPr>
        <w:t>）</w:t>
      </w:r>
    </w:p>
    <w:p w14:paraId="6C80405D">
      <w:pPr>
        <w:widowControl/>
        <w:spacing w:before="100" w:after="100" w:line="240" w:lineRule="atLeast"/>
        <w:ind w:firstLine="420" w:firstLineChars="200"/>
        <w:rPr>
          <w:rFonts w:hint="eastAsia" w:ascii="Times New Roman" w:hAnsi="Times New Roman" w:eastAsia="仿宋"/>
          <w:kern w:val="0"/>
          <w:szCs w:val="21"/>
          <w:lang w:bidi="ar"/>
        </w:rPr>
      </w:pPr>
      <w:r>
        <w:rPr>
          <w:rFonts w:hint="eastAsia" w:ascii="Times New Roman" w:hAnsi="Times New Roman" w:eastAsia="仿宋"/>
          <w:kern w:val="0"/>
          <w:szCs w:val="21"/>
          <w:lang w:bidi="ar"/>
        </w:rPr>
        <w:t>本体系给出A级与C级标准，介于A级与C级之间的为B级，低于C级的为D级。“教学效果”二级指标的评价，数据取自最近开设并完成的一轮课程教学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9F10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TdhZjlmYTdmZjg5ZjBiZTM1M2Q0ZDNhZTE5OWYifQ=="/>
  </w:docVars>
  <w:rsids>
    <w:rsidRoot w:val="1C6140FB"/>
    <w:rsid w:val="05FF5DF3"/>
    <w:rsid w:val="062067FE"/>
    <w:rsid w:val="0B9F1F73"/>
    <w:rsid w:val="0FB61426"/>
    <w:rsid w:val="106514EE"/>
    <w:rsid w:val="159D25E0"/>
    <w:rsid w:val="1BC41D1A"/>
    <w:rsid w:val="1C6140FB"/>
    <w:rsid w:val="1C9E497F"/>
    <w:rsid w:val="22745113"/>
    <w:rsid w:val="246729E7"/>
    <w:rsid w:val="27072166"/>
    <w:rsid w:val="2B2A27BD"/>
    <w:rsid w:val="2C7E166F"/>
    <w:rsid w:val="2D320A41"/>
    <w:rsid w:val="2D68487D"/>
    <w:rsid w:val="31587D89"/>
    <w:rsid w:val="36B714F0"/>
    <w:rsid w:val="42D92318"/>
    <w:rsid w:val="44FB6637"/>
    <w:rsid w:val="4E7A67E0"/>
    <w:rsid w:val="51B8565B"/>
    <w:rsid w:val="56C63802"/>
    <w:rsid w:val="5DED5DDE"/>
    <w:rsid w:val="5F2E28D7"/>
    <w:rsid w:val="62FF7BFD"/>
    <w:rsid w:val="65F91B21"/>
    <w:rsid w:val="680227E3"/>
    <w:rsid w:val="6C745437"/>
    <w:rsid w:val="6EE4505F"/>
    <w:rsid w:val="74BE0887"/>
    <w:rsid w:val="75DD78BA"/>
    <w:rsid w:val="77DF044B"/>
    <w:rsid w:val="7AD021A5"/>
    <w:rsid w:val="7D47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1123</Words>
  <Characters>1135</Characters>
  <Lines>0</Lines>
  <Paragraphs>0</Paragraphs>
  <TotalTime>0</TotalTime>
  <ScaleCrop>false</ScaleCrop>
  <LinksUpToDate>false</LinksUpToDate>
  <CharactersWithSpaces>1140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2023-11-27T09:22:00Z</dcterms:created>
  <dc:creator>杨玉箫</dc:creator>
  <cp:lastModifiedBy>86158</cp:lastModifiedBy>
  <dcterms:modified xsi:type="dcterms:W3CDTF">2025-09-23T01:03:39Z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C12BE64655E2419796903BF6E69A8EBD_13</vt:lpwstr>
  </property>
  <property fmtid="{D5CDD505-2E9C-101B-9397-08002B2CF9AE}" pid="4" name="KSOTemplateDocerSaveRecord">
    <vt:lpwstr>eyJoZGlkIjoiNmZjMDIwNGJkYzQxODY1MDc4ZmJmMzBhMTcxNjBkOWEiLCJ1c2VySWQiOiIxMjAwMzUzNDA0In0=</vt:lpwstr>
  </property>
</Properties>
</file>