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91" w:rsidRDefault="005E3376">
      <w:pPr>
        <w:jc w:val="both"/>
        <w:rPr>
          <w:rFonts w:ascii="仿宋" w:eastAsia="仿宋" w:hAnsi="仿宋" w:cs="仿宋"/>
          <w:b/>
          <w:color w:val="000000"/>
          <w:sz w:val="28"/>
          <w:szCs w:val="28"/>
          <w:lang w:val="en-US" w:bidi="ar-SA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  <w:lang w:val="en-US" w:bidi="ar-SA"/>
        </w:rPr>
        <w:t xml:space="preserve">    </w:t>
      </w:r>
    </w:p>
    <w:p w:rsidR="004E5791" w:rsidRDefault="005E3376">
      <w:pPr>
        <w:jc w:val="both"/>
        <w:rPr>
          <w:b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  <w:lang w:val="en-US" w:bidi="ar-SA"/>
        </w:rPr>
        <w:t xml:space="preserve">                        </w:t>
      </w:r>
      <w:r>
        <w:rPr>
          <w:rFonts w:ascii="仿宋" w:eastAsia="仿宋" w:hAnsi="仿宋" w:cs="仿宋" w:hint="eastAsia"/>
          <w:b/>
          <w:noProof/>
          <w:color w:val="000000"/>
          <w:sz w:val="28"/>
          <w:szCs w:val="28"/>
          <w:lang w:val="en-US" w:bidi="ar-SA"/>
        </w:rPr>
        <w:drawing>
          <wp:inline distT="0" distB="0" distL="114300" distR="114300">
            <wp:extent cx="1270000" cy="1270000"/>
            <wp:effectExtent l="0" t="0" r="6350" b="6350"/>
            <wp:docPr id="5" name="图片 5" descr="t03ed6b4eed503b7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03ed6b4eed503b75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791" w:rsidRDefault="004E5791">
      <w:pPr>
        <w:jc w:val="center"/>
        <w:rPr>
          <w:b/>
          <w:color w:val="000000"/>
          <w:sz w:val="44"/>
          <w:szCs w:val="44"/>
        </w:rPr>
      </w:pPr>
    </w:p>
    <w:p w:rsidR="004E5791" w:rsidRDefault="004E5791">
      <w:pPr>
        <w:jc w:val="both"/>
        <w:rPr>
          <w:b/>
          <w:color w:val="000000"/>
          <w:sz w:val="44"/>
          <w:szCs w:val="44"/>
        </w:rPr>
      </w:pPr>
    </w:p>
    <w:p w:rsidR="004E5791" w:rsidRDefault="004E5791">
      <w:pPr>
        <w:jc w:val="both"/>
        <w:rPr>
          <w:b/>
          <w:color w:val="000000"/>
          <w:sz w:val="44"/>
          <w:szCs w:val="44"/>
        </w:rPr>
      </w:pPr>
    </w:p>
    <w:p w:rsidR="004E5791" w:rsidRDefault="005E3376">
      <w:pPr>
        <w:jc w:val="center"/>
        <w:rPr>
          <w:b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202</w:t>
      </w:r>
      <w:r>
        <w:rPr>
          <w:rFonts w:hint="eastAsia"/>
          <w:b/>
          <w:color w:val="000000"/>
          <w:sz w:val="44"/>
          <w:szCs w:val="44"/>
          <w:lang w:val="en-US"/>
        </w:rPr>
        <w:t>3</w:t>
      </w:r>
      <w:r>
        <w:rPr>
          <w:rFonts w:hint="eastAsia"/>
          <w:b/>
          <w:color w:val="000000"/>
          <w:sz w:val="44"/>
          <w:szCs w:val="44"/>
        </w:rPr>
        <w:t>-202</w:t>
      </w:r>
      <w:r>
        <w:rPr>
          <w:rFonts w:hint="eastAsia"/>
          <w:b/>
          <w:color w:val="000000"/>
          <w:sz w:val="44"/>
          <w:szCs w:val="44"/>
          <w:lang w:val="en-US"/>
        </w:rPr>
        <w:t>4</w:t>
      </w:r>
      <w:r>
        <w:rPr>
          <w:rFonts w:hint="eastAsia"/>
          <w:b/>
          <w:color w:val="000000"/>
          <w:sz w:val="44"/>
          <w:szCs w:val="44"/>
        </w:rPr>
        <w:t>学年第</w:t>
      </w:r>
      <w:r>
        <w:rPr>
          <w:rFonts w:hint="eastAsia"/>
          <w:b/>
          <w:color w:val="000000"/>
          <w:sz w:val="44"/>
          <w:szCs w:val="44"/>
          <w:lang w:val="en-US"/>
        </w:rPr>
        <w:t>二</w:t>
      </w:r>
      <w:r>
        <w:rPr>
          <w:rFonts w:hint="eastAsia"/>
          <w:b/>
          <w:color w:val="000000"/>
          <w:sz w:val="44"/>
          <w:szCs w:val="44"/>
        </w:rPr>
        <w:t>学期</w:t>
      </w:r>
      <w:r>
        <w:rPr>
          <w:b/>
          <w:sz w:val="44"/>
          <w:szCs w:val="44"/>
        </w:rPr>
        <w:t>师生对</w:t>
      </w:r>
      <w:r>
        <w:rPr>
          <w:rFonts w:hint="eastAsia"/>
          <w:b/>
          <w:sz w:val="44"/>
          <w:szCs w:val="44"/>
          <w:lang w:val="en-US"/>
        </w:rPr>
        <w:t>学校</w:t>
      </w:r>
      <w:r>
        <w:rPr>
          <w:b/>
          <w:sz w:val="44"/>
          <w:szCs w:val="44"/>
        </w:rPr>
        <w:t>管理</w:t>
      </w:r>
      <w:r>
        <w:rPr>
          <w:rFonts w:hint="eastAsia"/>
          <w:b/>
          <w:sz w:val="44"/>
          <w:szCs w:val="44"/>
          <w:lang w:val="en-US"/>
        </w:rPr>
        <w:t>及</w:t>
      </w:r>
      <w:r>
        <w:rPr>
          <w:b/>
          <w:sz w:val="44"/>
          <w:szCs w:val="44"/>
        </w:rPr>
        <w:t>服务满意度调查分析报告</w:t>
      </w:r>
    </w:p>
    <w:p w:rsidR="004E5791" w:rsidRDefault="004E5791">
      <w:pPr>
        <w:jc w:val="center"/>
        <w:rPr>
          <w:b/>
          <w:color w:val="000000"/>
          <w:sz w:val="52"/>
          <w:szCs w:val="52"/>
        </w:rPr>
      </w:pPr>
    </w:p>
    <w:p w:rsidR="004E5791" w:rsidRDefault="004E5791">
      <w:pPr>
        <w:jc w:val="center"/>
        <w:rPr>
          <w:b/>
          <w:color w:val="000000"/>
          <w:sz w:val="52"/>
          <w:szCs w:val="52"/>
        </w:rPr>
      </w:pPr>
    </w:p>
    <w:p w:rsidR="004E5791" w:rsidRDefault="004E5791">
      <w:pPr>
        <w:rPr>
          <w:b/>
          <w:color w:val="000000"/>
          <w:sz w:val="52"/>
          <w:szCs w:val="52"/>
        </w:rPr>
      </w:pPr>
    </w:p>
    <w:p w:rsidR="004E5791" w:rsidRDefault="004E5791">
      <w:pPr>
        <w:jc w:val="center"/>
        <w:rPr>
          <w:b/>
          <w:color w:val="000000"/>
          <w:sz w:val="52"/>
          <w:szCs w:val="52"/>
        </w:rPr>
      </w:pPr>
    </w:p>
    <w:p w:rsidR="004E5791" w:rsidRDefault="004E5791">
      <w:pPr>
        <w:jc w:val="center"/>
        <w:rPr>
          <w:b/>
          <w:color w:val="000000"/>
          <w:sz w:val="52"/>
          <w:szCs w:val="52"/>
        </w:rPr>
      </w:pPr>
    </w:p>
    <w:p w:rsidR="004E5791" w:rsidRDefault="004E5791">
      <w:pPr>
        <w:jc w:val="center"/>
        <w:rPr>
          <w:b/>
          <w:color w:val="000000"/>
          <w:sz w:val="52"/>
          <w:szCs w:val="52"/>
        </w:rPr>
      </w:pPr>
    </w:p>
    <w:p w:rsidR="004E5791" w:rsidRDefault="005E3376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质量保障处</w:t>
      </w:r>
    </w:p>
    <w:p w:rsidR="004E5791" w:rsidRDefault="005E3376">
      <w:pPr>
        <w:jc w:val="center"/>
        <w:rPr>
          <w:b/>
          <w:sz w:val="36"/>
          <w:szCs w:val="36"/>
        </w:rPr>
      </w:pPr>
      <w:r>
        <w:rPr>
          <w:rFonts w:hint="eastAsia"/>
          <w:b/>
          <w:color w:val="000000"/>
          <w:sz w:val="32"/>
          <w:szCs w:val="32"/>
        </w:rPr>
        <w:t>202</w:t>
      </w:r>
      <w:r>
        <w:rPr>
          <w:rFonts w:hint="eastAsia"/>
          <w:b/>
          <w:color w:val="000000"/>
          <w:sz w:val="32"/>
          <w:szCs w:val="32"/>
          <w:lang w:val="en-US"/>
        </w:rPr>
        <w:t>4</w:t>
      </w:r>
      <w:r>
        <w:rPr>
          <w:rFonts w:hint="eastAsia"/>
          <w:b/>
          <w:color w:val="000000"/>
          <w:sz w:val="32"/>
          <w:szCs w:val="32"/>
        </w:rPr>
        <w:t>年</w:t>
      </w:r>
      <w:r>
        <w:rPr>
          <w:rFonts w:hint="eastAsia"/>
          <w:b/>
          <w:color w:val="000000"/>
          <w:sz w:val="32"/>
          <w:szCs w:val="32"/>
          <w:lang w:val="en-US"/>
        </w:rPr>
        <w:t>7</w:t>
      </w:r>
      <w:r>
        <w:rPr>
          <w:rFonts w:hint="eastAsia"/>
          <w:b/>
          <w:color w:val="000000"/>
          <w:sz w:val="32"/>
          <w:szCs w:val="32"/>
        </w:rPr>
        <w:t>月</w:t>
      </w:r>
    </w:p>
    <w:p w:rsidR="004E5791" w:rsidRDefault="004E5791">
      <w:pPr>
        <w:jc w:val="center"/>
        <w:rPr>
          <w:b/>
          <w:sz w:val="36"/>
          <w:szCs w:val="36"/>
        </w:rPr>
      </w:pPr>
    </w:p>
    <w:p w:rsidR="004E5791" w:rsidRDefault="005E337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吉利学院</w:t>
      </w:r>
      <w:r>
        <w:rPr>
          <w:b/>
          <w:sz w:val="36"/>
          <w:szCs w:val="36"/>
        </w:rPr>
        <w:t xml:space="preserve"> 202</w:t>
      </w:r>
      <w:r>
        <w:rPr>
          <w:rFonts w:hint="eastAsia"/>
          <w:b/>
          <w:sz w:val="36"/>
          <w:szCs w:val="36"/>
          <w:lang w:val="en-US"/>
        </w:rPr>
        <w:t>3</w:t>
      </w:r>
      <w:r>
        <w:rPr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/>
        </w:rPr>
        <w:t>4</w:t>
      </w:r>
      <w:r>
        <w:rPr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lang w:val="en-US"/>
        </w:rPr>
        <w:t>二</w:t>
      </w:r>
      <w:r>
        <w:rPr>
          <w:b/>
          <w:sz w:val="36"/>
          <w:szCs w:val="36"/>
        </w:rPr>
        <w:t>学期</w:t>
      </w:r>
    </w:p>
    <w:p w:rsidR="004E5791" w:rsidRDefault="005E337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师生对</w:t>
      </w:r>
      <w:r>
        <w:rPr>
          <w:rFonts w:hint="eastAsia"/>
          <w:b/>
          <w:sz w:val="36"/>
          <w:szCs w:val="36"/>
          <w:lang w:val="en-US"/>
        </w:rPr>
        <w:t>学校</w:t>
      </w:r>
      <w:r>
        <w:rPr>
          <w:rFonts w:hint="eastAsia"/>
          <w:b/>
          <w:sz w:val="36"/>
          <w:szCs w:val="36"/>
        </w:rPr>
        <w:t>管理</w:t>
      </w:r>
      <w:r>
        <w:rPr>
          <w:rFonts w:hint="eastAsia"/>
          <w:b/>
          <w:sz w:val="36"/>
          <w:szCs w:val="36"/>
          <w:lang w:val="en-US"/>
        </w:rPr>
        <w:t>及</w:t>
      </w:r>
      <w:r>
        <w:rPr>
          <w:rFonts w:hint="eastAsia"/>
          <w:b/>
          <w:sz w:val="36"/>
          <w:szCs w:val="36"/>
        </w:rPr>
        <w:t>服务满意度调查分析报告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为全面了解本学期全校师生对学校管理及服务满意度情况，进一步提高学校管理和服务水平，不断改进学校各项工作，根据《关于开展2023-2024学年第</w:t>
      </w:r>
      <w:r>
        <w:rPr>
          <w:rFonts w:ascii="仿宋_GB2312" w:eastAsia="仿宋_GB2312" w:hint="eastAsia"/>
          <w:sz w:val="28"/>
          <w:szCs w:val="28"/>
          <w:lang w:val="en-US"/>
        </w:rPr>
        <w:t>二</w:t>
      </w:r>
      <w:r>
        <w:rPr>
          <w:rFonts w:ascii="仿宋_GB2312" w:eastAsia="仿宋_GB2312" w:hint="eastAsia"/>
          <w:sz w:val="28"/>
          <w:szCs w:val="28"/>
        </w:rPr>
        <w:t>学期师生满意度调查的通知》（</w:t>
      </w:r>
      <w:proofErr w:type="gramStart"/>
      <w:r>
        <w:rPr>
          <w:rFonts w:ascii="仿宋_GB2312" w:eastAsia="仿宋_GB2312" w:hint="eastAsia"/>
          <w:sz w:val="28"/>
          <w:szCs w:val="28"/>
        </w:rPr>
        <w:t>质字〔202</w:t>
      </w:r>
      <w:r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</w:rPr>
        <w:t>〕</w:t>
      </w:r>
      <w:proofErr w:type="gramEnd"/>
      <w:r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</w:rPr>
        <w:t>号）的相关要求，质量保障处于202</w:t>
      </w:r>
      <w:r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lang w:val="en-US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lang w:val="en-US"/>
        </w:rPr>
        <w:t>8</w:t>
      </w:r>
      <w:r>
        <w:rPr>
          <w:rFonts w:ascii="仿宋_GB2312" w:eastAsia="仿宋_GB2312" w:hint="eastAsia"/>
          <w:sz w:val="28"/>
          <w:szCs w:val="28"/>
        </w:rPr>
        <w:t>日至</w:t>
      </w:r>
      <w:r>
        <w:rPr>
          <w:rFonts w:ascii="仿宋_GB2312" w:eastAsia="仿宋_GB2312" w:hint="eastAsia"/>
          <w:sz w:val="28"/>
          <w:szCs w:val="28"/>
          <w:lang w:val="en-US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lang w:val="en-US"/>
        </w:rPr>
        <w:t>8</w:t>
      </w:r>
      <w:r>
        <w:rPr>
          <w:rFonts w:ascii="仿宋_GB2312" w:eastAsia="仿宋_GB2312" w:hint="eastAsia"/>
          <w:sz w:val="28"/>
          <w:szCs w:val="28"/>
        </w:rPr>
        <w:t>日组织全体师生对学校管理及服务开展满意度调查（以下简称满意度调查）工作。</w:t>
      </w:r>
    </w:p>
    <w:p w:rsidR="004E5791" w:rsidRDefault="005E3376">
      <w:pPr>
        <w:pStyle w:val="a3"/>
        <w:spacing w:before="3"/>
        <w:ind w:left="600"/>
        <w:rPr>
          <w:b/>
          <w:sz w:val="32"/>
          <w:szCs w:val="32"/>
        </w:rPr>
      </w:pPr>
      <w:r>
        <w:rPr>
          <w:b/>
          <w:sz w:val="32"/>
          <w:szCs w:val="32"/>
        </w:rPr>
        <w:t>一、教师对教学</w:t>
      </w:r>
      <w:r>
        <w:rPr>
          <w:rFonts w:hint="eastAsia"/>
          <w:b/>
          <w:sz w:val="32"/>
          <w:szCs w:val="32"/>
          <w:lang w:val="en-US"/>
        </w:rPr>
        <w:t>管理及</w:t>
      </w:r>
      <w:r>
        <w:rPr>
          <w:b/>
          <w:sz w:val="32"/>
          <w:szCs w:val="32"/>
        </w:rPr>
        <w:t>服务满意度</w:t>
      </w:r>
    </w:p>
    <w:p w:rsidR="004E5791" w:rsidRDefault="005E337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（一）教师</w:t>
      </w:r>
      <w:r>
        <w:rPr>
          <w:rFonts w:ascii="仿宋_GB2312" w:eastAsia="仿宋_GB2312" w:hint="eastAsia"/>
          <w:b/>
          <w:sz w:val="28"/>
          <w:szCs w:val="28"/>
          <w:lang w:val="en-US"/>
        </w:rPr>
        <w:t>满意度调查</w:t>
      </w:r>
      <w:r>
        <w:rPr>
          <w:rFonts w:ascii="仿宋_GB2312" w:eastAsia="仿宋_GB2312" w:hint="eastAsia"/>
          <w:b/>
          <w:sz w:val="28"/>
          <w:szCs w:val="28"/>
        </w:rPr>
        <w:t>总体情况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截止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lang w:val="en-US"/>
        </w:rPr>
        <w:t>7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lang w:val="en-US"/>
        </w:rPr>
        <w:t>8</w:t>
      </w:r>
      <w:r>
        <w:rPr>
          <w:rFonts w:ascii="仿宋_GB2312" w:eastAsia="仿宋_GB2312"/>
          <w:sz w:val="28"/>
          <w:szCs w:val="28"/>
        </w:rPr>
        <w:t>日，参加满意度调查问卷答卷教师</w:t>
      </w:r>
      <w:r>
        <w:rPr>
          <w:rFonts w:ascii="仿宋_GB2312" w:eastAsia="仿宋_GB2312" w:hint="eastAsia"/>
          <w:sz w:val="28"/>
          <w:szCs w:val="28"/>
          <w:lang w:val="en-US"/>
        </w:rPr>
        <w:t>436</w:t>
      </w:r>
      <w:r>
        <w:rPr>
          <w:rFonts w:ascii="仿宋_GB2312" w:eastAsia="仿宋_GB2312"/>
          <w:sz w:val="28"/>
          <w:szCs w:val="28"/>
        </w:rPr>
        <w:t>人,参与度</w:t>
      </w:r>
      <w:r>
        <w:rPr>
          <w:rFonts w:ascii="仿宋_GB2312" w:eastAsia="仿宋_GB2312" w:hint="eastAsia"/>
          <w:sz w:val="28"/>
          <w:szCs w:val="28"/>
          <w:lang w:val="en-US"/>
        </w:rPr>
        <w:t>54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  <w:lang w:val="en-US"/>
        </w:rPr>
        <w:t>23</w:t>
      </w:r>
      <w:r>
        <w:rPr>
          <w:rFonts w:ascii="仿宋_GB2312" w:eastAsia="仿宋_GB2312"/>
          <w:sz w:val="28"/>
          <w:szCs w:val="28"/>
        </w:rPr>
        <w:t>%。本学</w:t>
      </w:r>
      <w:r>
        <w:rPr>
          <w:rFonts w:ascii="仿宋_GB2312" w:eastAsia="仿宋_GB2312" w:hint="eastAsia"/>
          <w:sz w:val="28"/>
          <w:szCs w:val="28"/>
        </w:rPr>
        <w:t>期教师对教学服务总体满意度</w:t>
      </w:r>
      <w:r>
        <w:rPr>
          <w:rFonts w:ascii="仿宋_GB2312" w:eastAsia="仿宋_GB2312" w:hint="eastAsia"/>
          <w:sz w:val="28"/>
          <w:szCs w:val="28"/>
          <w:lang w:val="en-US"/>
        </w:rPr>
        <w:t>88.4</w:t>
      </w:r>
      <w:r>
        <w:rPr>
          <w:rFonts w:ascii="仿宋_GB2312" w:eastAsia="仿宋_GB2312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  <w:lang w:val="en-US"/>
        </w:rPr>
        <w:t>较上学期93.75%有所下降，此为2021-2022学年第二学期以来，首次教师满意度下降</w:t>
      </w:r>
      <w:r>
        <w:rPr>
          <w:rFonts w:ascii="仿宋_GB2312" w:eastAsia="仿宋_GB2312"/>
          <w:sz w:val="28"/>
          <w:szCs w:val="28"/>
        </w:rPr>
        <w:t>。</w:t>
      </w:r>
    </w:p>
    <w:p w:rsidR="004E5791" w:rsidRDefault="005E3376">
      <w:pPr>
        <w:pStyle w:val="a3"/>
        <w:spacing w:before="160"/>
        <w:ind w:firstLineChars="200" w:firstLine="560"/>
      </w:pPr>
      <w:r>
        <w:rPr>
          <w:rFonts w:ascii="仿宋_GB2312" w:eastAsia="仿宋_GB2312" w:hint="eastAsia"/>
          <w:sz w:val="28"/>
          <w:szCs w:val="28"/>
        </w:rPr>
        <w:t>各学院教师</w:t>
      </w:r>
      <w:r>
        <w:rPr>
          <w:rFonts w:ascii="仿宋_GB2312" w:eastAsia="仿宋_GB2312" w:hint="eastAsia"/>
          <w:sz w:val="28"/>
          <w:szCs w:val="28"/>
          <w:lang w:val="en-US"/>
        </w:rPr>
        <w:t>满意度调查参与人数</w:t>
      </w:r>
      <w:r>
        <w:rPr>
          <w:rFonts w:ascii="仿宋_GB2312" w:eastAsia="仿宋_GB2312" w:hint="eastAsia"/>
          <w:sz w:val="28"/>
          <w:szCs w:val="28"/>
        </w:rPr>
        <w:t>如下：</w:t>
      </w:r>
    </w:p>
    <w:p w:rsidR="004E5791" w:rsidRDefault="005E3376">
      <w:pPr>
        <w:rPr>
          <w:rFonts w:ascii="仿宋_GB2312" w:eastAsia="仿宋_GB2312"/>
          <w:sz w:val="28"/>
          <w:szCs w:val="28"/>
        </w:rPr>
      </w:pPr>
      <w:r>
        <w:rPr>
          <w:noProof/>
          <w:lang w:val="en-US" w:bidi="ar-SA"/>
        </w:rPr>
        <w:drawing>
          <wp:inline distT="0" distB="0" distL="114300" distR="114300">
            <wp:extent cx="5890260" cy="2697480"/>
            <wp:effectExtent l="4445" t="4445" r="10795" b="22225"/>
            <wp:docPr id="3" name="图表 2" descr="7b0a202020202263686172745265734964223a202234353638333034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本学期教师对教学</w:t>
      </w:r>
      <w:r>
        <w:rPr>
          <w:rFonts w:ascii="仿宋_GB2312" w:eastAsia="仿宋_GB2312" w:hint="eastAsia"/>
          <w:sz w:val="28"/>
          <w:szCs w:val="28"/>
          <w:lang w:val="en-US"/>
        </w:rPr>
        <w:t>管理及</w:t>
      </w:r>
      <w:r>
        <w:rPr>
          <w:rFonts w:ascii="仿宋_GB2312" w:eastAsia="仿宋_GB2312" w:hint="eastAsia"/>
          <w:sz w:val="28"/>
          <w:szCs w:val="28"/>
        </w:rPr>
        <w:t>服务满意度调查分为</w:t>
      </w:r>
      <w:r>
        <w:rPr>
          <w:rFonts w:ascii="仿宋_GB2312" w:eastAsia="仿宋_GB2312" w:hint="eastAsia"/>
          <w:sz w:val="28"/>
          <w:szCs w:val="28"/>
          <w:lang w:val="en-US"/>
        </w:rPr>
        <w:t>9</w:t>
      </w:r>
      <w:r>
        <w:rPr>
          <w:rFonts w:ascii="仿宋_GB2312" w:eastAsia="仿宋_GB2312"/>
          <w:sz w:val="28"/>
          <w:szCs w:val="28"/>
        </w:rPr>
        <w:t>个分项：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Q1：</w:t>
      </w:r>
      <w:r>
        <w:rPr>
          <w:rFonts w:ascii="仿宋_GB2312" w:eastAsia="仿宋_GB2312" w:hint="eastAsia"/>
          <w:sz w:val="28"/>
          <w:szCs w:val="28"/>
        </w:rPr>
        <w:t>您对学校教学管理相关制度是否满意？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val="en-US"/>
        </w:rPr>
        <w:t>82.56%</w:t>
      </w:r>
      <w:r>
        <w:rPr>
          <w:rFonts w:ascii="仿宋_GB2312" w:eastAsia="仿宋_GB2312"/>
          <w:sz w:val="28"/>
          <w:szCs w:val="28"/>
        </w:rPr>
        <w:t>）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>Q2：</w:t>
      </w:r>
      <w:r>
        <w:rPr>
          <w:rFonts w:ascii="仿宋_GB2312" w:eastAsia="仿宋_GB2312" w:hint="eastAsia"/>
          <w:sz w:val="28"/>
          <w:szCs w:val="28"/>
        </w:rPr>
        <w:t>您对学校层面教学管理人员在执行制度上是否满意？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val="en-US"/>
        </w:rPr>
        <w:t>85.09%</w:t>
      </w:r>
      <w:r>
        <w:rPr>
          <w:rFonts w:ascii="仿宋_GB2312" w:eastAsia="仿宋_GB2312"/>
          <w:sz w:val="28"/>
          <w:szCs w:val="28"/>
        </w:rPr>
        <w:t>）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Q3：</w:t>
      </w:r>
      <w:r>
        <w:rPr>
          <w:rFonts w:ascii="仿宋_GB2312" w:eastAsia="仿宋_GB2312" w:hint="eastAsia"/>
          <w:sz w:val="28"/>
          <w:szCs w:val="28"/>
        </w:rPr>
        <w:t>您对本学院教学管理人员在执行制度上是否满意？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val="en-US"/>
        </w:rPr>
        <w:t>91.51%</w:t>
      </w:r>
      <w:r>
        <w:rPr>
          <w:rFonts w:ascii="仿宋_GB2312" w:eastAsia="仿宋_GB2312"/>
          <w:sz w:val="28"/>
          <w:szCs w:val="28"/>
        </w:rPr>
        <w:t>）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Q4：</w:t>
      </w:r>
      <w:r>
        <w:rPr>
          <w:rFonts w:ascii="仿宋_GB2312" w:eastAsia="仿宋_GB2312" w:hint="eastAsia"/>
          <w:sz w:val="28"/>
          <w:szCs w:val="28"/>
        </w:rPr>
        <w:t>您对学校层面教学管理人员的服务态度是否满意？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val="en-US"/>
        </w:rPr>
        <w:t>87.39%</w:t>
      </w:r>
      <w:r>
        <w:rPr>
          <w:rFonts w:ascii="仿宋_GB2312" w:eastAsia="仿宋_GB2312"/>
          <w:sz w:val="28"/>
          <w:szCs w:val="28"/>
        </w:rPr>
        <w:t>）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Q5：</w:t>
      </w:r>
      <w:r>
        <w:rPr>
          <w:rFonts w:ascii="仿宋_GB2312" w:eastAsia="仿宋_GB2312" w:hint="eastAsia"/>
          <w:sz w:val="28"/>
          <w:szCs w:val="28"/>
        </w:rPr>
        <w:t>您对本学院教学管理人员的服务态度是否满意？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val="en-US"/>
        </w:rPr>
        <w:t>94.04%</w:t>
      </w:r>
      <w:r>
        <w:rPr>
          <w:rFonts w:ascii="仿宋_GB2312" w:eastAsia="仿宋_GB2312"/>
          <w:sz w:val="28"/>
          <w:szCs w:val="28"/>
        </w:rPr>
        <w:t>）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Q6：</w:t>
      </w:r>
      <w:r>
        <w:rPr>
          <w:rFonts w:ascii="仿宋_GB2312" w:eastAsia="仿宋_GB2312" w:hint="eastAsia"/>
          <w:sz w:val="28"/>
          <w:szCs w:val="28"/>
        </w:rPr>
        <w:t>您对学校教学管理的运行效率是否满意？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val="en-US"/>
        </w:rPr>
        <w:t>85.09%</w:t>
      </w:r>
      <w:r>
        <w:rPr>
          <w:rFonts w:ascii="仿宋_GB2312" w:eastAsia="仿宋_GB2312"/>
          <w:sz w:val="28"/>
          <w:szCs w:val="28"/>
        </w:rPr>
        <w:t>）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Q7：</w:t>
      </w:r>
      <w:r>
        <w:rPr>
          <w:rFonts w:ascii="仿宋_GB2312" w:eastAsia="仿宋_GB2312" w:hint="eastAsia"/>
          <w:sz w:val="28"/>
          <w:szCs w:val="28"/>
        </w:rPr>
        <w:t>您对本学院教学管理的运行效率是否满意？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val="en-US"/>
        </w:rPr>
        <w:t>91.28%</w:t>
      </w:r>
      <w:r>
        <w:rPr>
          <w:rFonts w:ascii="仿宋_GB2312" w:eastAsia="仿宋_GB2312"/>
          <w:sz w:val="28"/>
          <w:szCs w:val="28"/>
        </w:rPr>
        <w:t>）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Q8：</w:t>
      </w:r>
      <w:r>
        <w:rPr>
          <w:rFonts w:ascii="仿宋_GB2312" w:eastAsia="仿宋_GB2312" w:hint="eastAsia"/>
          <w:sz w:val="28"/>
          <w:szCs w:val="28"/>
        </w:rPr>
        <w:t>您对本学院教学管理整体服务是否满意？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val="en-US"/>
        </w:rPr>
        <w:t>93.35%</w:t>
      </w:r>
      <w:r>
        <w:rPr>
          <w:rFonts w:ascii="仿宋_GB2312" w:eastAsia="仿宋_GB2312"/>
          <w:sz w:val="28"/>
          <w:szCs w:val="28"/>
        </w:rPr>
        <w:t>）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  <w:lang w:val="en-US"/>
        </w:rPr>
        <w:t>Q9：整体上您对学校教学管理部门服务是否满意？（85.32%）</w:t>
      </w:r>
    </w:p>
    <w:p w:rsidR="004E5791" w:rsidRDefault="004E5791">
      <w:pPr>
        <w:ind w:firstLineChars="200" w:firstLine="560"/>
        <w:rPr>
          <w:rFonts w:ascii="仿宋_GB2312" w:eastAsia="仿宋_GB2312"/>
          <w:sz w:val="28"/>
          <w:szCs w:val="28"/>
          <w:lang w:val="en-US"/>
        </w:rPr>
      </w:pPr>
    </w:p>
    <w:p w:rsidR="004E5791" w:rsidRDefault="005E3376">
      <w:pPr>
        <w:ind w:firstLineChars="200" w:firstLine="56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28"/>
          <w:szCs w:val="28"/>
        </w:rPr>
        <w:t>（二）教师满意度分析</w:t>
      </w:r>
    </w:p>
    <w:p w:rsidR="004E5791" w:rsidRDefault="005E3376">
      <w:pPr>
        <w:pStyle w:val="a3"/>
        <w:spacing w:before="42" w:line="364" w:lineRule="auto"/>
        <w:ind w:leftChars="55" w:left="121" w:right="577"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1.总体满意度：</w:t>
      </w:r>
      <w:r>
        <w:rPr>
          <w:rFonts w:ascii="仿宋_GB2312" w:eastAsia="仿宋_GB2312"/>
          <w:sz w:val="28"/>
          <w:szCs w:val="28"/>
        </w:rPr>
        <w:t>本学期教师对学校教学管理及服务</w:t>
      </w:r>
      <w:proofErr w:type="gramStart"/>
      <w:r>
        <w:rPr>
          <w:rFonts w:ascii="仿宋_GB2312" w:eastAsia="仿宋_GB2312"/>
          <w:sz w:val="28"/>
          <w:szCs w:val="28"/>
        </w:rPr>
        <w:t>本总体</w:t>
      </w:r>
      <w:proofErr w:type="gramEnd"/>
      <w:r>
        <w:rPr>
          <w:rFonts w:ascii="仿宋_GB2312" w:eastAsia="仿宋_GB2312"/>
          <w:sz w:val="28"/>
          <w:szCs w:val="28"/>
        </w:rPr>
        <w:t>满意度</w:t>
      </w:r>
      <w:r>
        <w:rPr>
          <w:rFonts w:ascii="仿宋_GB2312" w:eastAsia="仿宋_GB2312" w:hint="eastAsia"/>
          <w:sz w:val="28"/>
          <w:szCs w:val="28"/>
          <w:lang w:val="en-US"/>
        </w:rPr>
        <w:t>88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</w:rPr>
        <w:t>%（202</w:t>
      </w:r>
      <w:r>
        <w:rPr>
          <w:rFonts w:ascii="仿宋_GB2312" w:eastAsia="仿宋_GB2312" w:hint="eastAsia"/>
          <w:sz w:val="28"/>
          <w:szCs w:val="28"/>
          <w:lang w:val="en-US"/>
        </w:rPr>
        <w:t>3</w:t>
      </w:r>
      <w:r>
        <w:rPr>
          <w:rFonts w:ascii="仿宋_GB2312" w:eastAsia="仿宋_GB2312" w:hint="eastAsia"/>
          <w:sz w:val="28"/>
          <w:szCs w:val="28"/>
        </w:rPr>
        <w:t>-202</w:t>
      </w:r>
      <w:r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</w:rPr>
        <w:t>学年第</w:t>
      </w:r>
      <w:r w:rsidR="00A1519E">
        <w:rPr>
          <w:rFonts w:ascii="仿宋_GB2312" w:eastAsia="仿宋_GB2312" w:hint="eastAsia"/>
          <w:sz w:val="28"/>
          <w:szCs w:val="28"/>
          <w:lang w:val="en-US"/>
        </w:rPr>
        <w:t>一</w:t>
      </w:r>
      <w:r>
        <w:rPr>
          <w:rFonts w:ascii="仿宋_GB2312" w:eastAsia="仿宋_GB2312" w:hint="eastAsia"/>
          <w:sz w:val="28"/>
          <w:szCs w:val="28"/>
        </w:rPr>
        <w:t>学期总体满意度</w:t>
      </w:r>
      <w:r>
        <w:rPr>
          <w:rFonts w:ascii="仿宋_GB2312" w:eastAsia="仿宋_GB2312" w:hint="eastAsia"/>
          <w:sz w:val="28"/>
          <w:szCs w:val="28"/>
          <w:lang w:val="en-US"/>
        </w:rPr>
        <w:t>93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  <w:lang w:val="en-US"/>
        </w:rPr>
        <w:t>75</w:t>
      </w:r>
      <w:r>
        <w:rPr>
          <w:rFonts w:ascii="仿宋_GB2312" w:eastAsia="仿宋_GB2312" w:hint="eastAsia"/>
          <w:sz w:val="28"/>
          <w:szCs w:val="28"/>
        </w:rPr>
        <w:t>%）</w:t>
      </w:r>
      <w:r>
        <w:rPr>
          <w:rFonts w:ascii="仿宋_GB2312" w:eastAsia="仿宋_GB2312"/>
          <w:sz w:val="28"/>
          <w:szCs w:val="28"/>
        </w:rPr>
        <w:t>。</w:t>
      </w:r>
    </w:p>
    <w:p w:rsidR="004E5791" w:rsidRDefault="005E3376">
      <w:pPr>
        <w:pStyle w:val="a3"/>
        <w:spacing w:before="1"/>
        <w:ind w:left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具体数据见下表：</w:t>
      </w:r>
    </w:p>
    <w:p w:rsidR="004E5791" w:rsidRDefault="005E3376">
      <w:pPr>
        <w:pStyle w:val="a3"/>
        <w:spacing w:before="1"/>
        <w:ind w:left="600"/>
        <w:rPr>
          <w:rFonts w:ascii="仿宋_GB2312" w:eastAsia="仿宋_GB2312"/>
          <w:sz w:val="28"/>
          <w:szCs w:val="28"/>
        </w:rPr>
      </w:pPr>
      <w:r>
        <w:rPr>
          <w:noProof/>
          <w:lang w:val="en-US" w:bidi="ar-SA"/>
        </w:rPr>
        <w:drawing>
          <wp:inline distT="0" distB="0" distL="114300" distR="114300">
            <wp:extent cx="5247640" cy="2456815"/>
            <wp:effectExtent l="6350" t="6350" r="22860" b="13335"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5791" w:rsidRDefault="005E337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2.各分项满意度</w:t>
      </w:r>
    </w:p>
    <w:tbl>
      <w:tblPr>
        <w:tblW w:w="9468" w:type="dxa"/>
        <w:jc w:val="center"/>
        <w:tblLook w:val="04A0" w:firstRow="1" w:lastRow="0" w:firstColumn="1" w:lastColumn="0" w:noHBand="0" w:noVBand="1"/>
      </w:tblPr>
      <w:tblGrid>
        <w:gridCol w:w="2205"/>
        <w:gridCol w:w="1470"/>
        <w:gridCol w:w="1260"/>
        <w:gridCol w:w="1519"/>
        <w:gridCol w:w="1364"/>
        <w:gridCol w:w="1650"/>
      </w:tblGrid>
      <w:tr w:rsidR="004E5791" w:rsidTr="008B4EC4">
        <w:trPr>
          <w:trHeight w:val="696"/>
          <w:jc w:val="center"/>
        </w:trPr>
        <w:tc>
          <w:tcPr>
            <w:tcW w:w="2205" w:type="dxa"/>
            <w:shd w:val="clear" w:color="000000" w:fill="7DDED6" w:themeFill="accent5" w:themeFillTint="99"/>
          </w:tcPr>
          <w:p w:rsidR="004E5791" w:rsidRPr="00BF0A0B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b/>
                <w:bCs/>
                <w:color w:val="FFFFFF" w:themeColor="background1"/>
                <w:sz w:val="28"/>
                <w:szCs w:val="28"/>
                <w:lang w:val="en-US" w:bidi="ar-SA"/>
              </w:rPr>
            </w:pPr>
            <w:r w:rsidRPr="00BF0A0B">
              <w:rPr>
                <w:rFonts w:ascii="黑体" w:eastAsia="黑体" w:hAnsi="黑体" w:hint="eastAsia"/>
                <w:b/>
                <w:bCs/>
                <w:color w:val="FFFFFF" w:themeColor="background1"/>
                <w:sz w:val="28"/>
                <w:szCs w:val="28"/>
                <w:lang w:val="en-US" w:bidi="ar-SA"/>
              </w:rPr>
              <w:lastRenderedPageBreak/>
              <w:t>问卷分项</w:t>
            </w:r>
          </w:p>
        </w:tc>
        <w:tc>
          <w:tcPr>
            <w:tcW w:w="1470" w:type="dxa"/>
            <w:shd w:val="clear" w:color="000000" w:fill="00B050"/>
          </w:tcPr>
          <w:p w:rsidR="004E5791" w:rsidRPr="00BF0A0B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8"/>
                <w:szCs w:val="28"/>
                <w:lang w:val="en-US" w:bidi="ar-SA"/>
              </w:rPr>
            </w:pPr>
            <w:r w:rsidRPr="00BF0A0B">
              <w:rPr>
                <w:rFonts w:ascii="黑体" w:eastAsia="黑体" w:hAnsi="黑体" w:hint="eastAsia"/>
                <w:b/>
                <w:bCs/>
                <w:color w:val="000000" w:themeColor="text1"/>
                <w:sz w:val="28"/>
                <w:szCs w:val="28"/>
                <w:lang w:val="en-US" w:bidi="ar-SA"/>
              </w:rPr>
              <w:t>非常满意</w:t>
            </w:r>
          </w:p>
        </w:tc>
        <w:tc>
          <w:tcPr>
            <w:tcW w:w="1260" w:type="dxa"/>
            <w:shd w:val="clear" w:color="000000" w:fill="92D050"/>
          </w:tcPr>
          <w:p w:rsidR="004E5791" w:rsidRPr="00BF0A0B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8"/>
                <w:szCs w:val="28"/>
                <w:lang w:val="en-US" w:bidi="ar-SA"/>
              </w:rPr>
            </w:pPr>
            <w:r w:rsidRPr="00BF0A0B">
              <w:rPr>
                <w:rFonts w:ascii="黑体" w:eastAsia="黑体" w:hAnsi="黑体" w:hint="eastAsia"/>
                <w:b/>
                <w:bCs/>
                <w:color w:val="000000" w:themeColor="text1"/>
                <w:sz w:val="28"/>
                <w:szCs w:val="28"/>
                <w:lang w:val="en-US" w:bidi="ar-SA"/>
              </w:rPr>
              <w:t>满意</w:t>
            </w:r>
          </w:p>
        </w:tc>
        <w:tc>
          <w:tcPr>
            <w:tcW w:w="1519" w:type="dxa"/>
            <w:shd w:val="clear" w:color="000000" w:fill="F2BA02" w:themeFill="accent3"/>
          </w:tcPr>
          <w:p w:rsidR="004E5791" w:rsidRPr="00BF0A0B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8"/>
                <w:szCs w:val="28"/>
                <w:lang w:val="en-US" w:bidi="ar-SA"/>
              </w:rPr>
            </w:pPr>
            <w:r w:rsidRPr="00BF0A0B">
              <w:rPr>
                <w:rFonts w:ascii="黑体" w:eastAsia="黑体" w:hAnsi="黑体" w:hint="eastAsia"/>
                <w:b/>
                <w:bCs/>
                <w:color w:val="000000" w:themeColor="text1"/>
                <w:sz w:val="28"/>
                <w:szCs w:val="28"/>
                <w:lang w:val="en-US" w:bidi="ar-SA"/>
              </w:rPr>
              <w:t>比较满意</w:t>
            </w:r>
          </w:p>
        </w:tc>
        <w:tc>
          <w:tcPr>
            <w:tcW w:w="1364" w:type="dxa"/>
            <w:shd w:val="clear" w:color="000000" w:fill="0070C0"/>
          </w:tcPr>
          <w:p w:rsidR="004E5791" w:rsidRPr="00BF0A0B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b/>
                <w:bCs/>
                <w:color w:val="FFFFFF" w:themeColor="background1"/>
                <w:sz w:val="28"/>
                <w:szCs w:val="28"/>
                <w:lang w:val="en-US" w:bidi="ar-SA"/>
              </w:rPr>
            </w:pPr>
            <w:r w:rsidRPr="00BF0A0B">
              <w:rPr>
                <w:rFonts w:ascii="黑体" w:eastAsia="黑体" w:hAnsi="黑体" w:hint="eastAsia"/>
                <w:b/>
                <w:bCs/>
                <w:color w:val="FFFFFF" w:themeColor="background1"/>
                <w:sz w:val="28"/>
                <w:szCs w:val="28"/>
                <w:lang w:val="en-US" w:bidi="ar-SA"/>
              </w:rPr>
              <w:t>不满意</w:t>
            </w:r>
          </w:p>
        </w:tc>
        <w:tc>
          <w:tcPr>
            <w:tcW w:w="1650" w:type="dxa"/>
            <w:shd w:val="clear" w:color="000000" w:fill="7030A0"/>
          </w:tcPr>
          <w:p w:rsidR="004E5791" w:rsidRPr="00BF0A0B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b/>
                <w:bCs/>
                <w:color w:val="FFFFFF" w:themeColor="background1"/>
                <w:sz w:val="28"/>
                <w:szCs w:val="28"/>
                <w:lang w:val="en-US" w:bidi="ar-SA"/>
              </w:rPr>
            </w:pPr>
            <w:r w:rsidRPr="00BF0A0B">
              <w:rPr>
                <w:rFonts w:ascii="黑体" w:eastAsia="黑体" w:hAnsi="黑体" w:hint="eastAsia"/>
                <w:b/>
                <w:bCs/>
                <w:color w:val="FFFFFF" w:themeColor="background1"/>
                <w:sz w:val="28"/>
                <w:szCs w:val="28"/>
                <w:lang w:val="en-US" w:bidi="ar-SA"/>
              </w:rPr>
              <w:t>非常不满意</w:t>
            </w:r>
          </w:p>
        </w:tc>
      </w:tr>
      <w:tr w:rsidR="004E5791" w:rsidTr="008B4EC4">
        <w:trPr>
          <w:trHeight w:val="348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Q1（学校制度）</w:t>
            </w:r>
          </w:p>
        </w:tc>
        <w:tc>
          <w:tcPr>
            <w:tcW w:w="147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97</w:t>
            </w:r>
          </w:p>
        </w:tc>
        <w:tc>
          <w:tcPr>
            <w:tcW w:w="126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117</w:t>
            </w:r>
          </w:p>
        </w:tc>
        <w:tc>
          <w:tcPr>
            <w:tcW w:w="1519" w:type="dxa"/>
            <w:shd w:val="clear" w:color="auto" w:fill="FEE595" w:themeFill="accent3" w:themeFillTint="66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146</w:t>
            </w:r>
          </w:p>
        </w:tc>
        <w:tc>
          <w:tcPr>
            <w:tcW w:w="1364" w:type="dxa"/>
            <w:shd w:val="clear" w:color="auto" w:fill="FFFF00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57</w:t>
            </w:r>
          </w:p>
        </w:tc>
        <w:tc>
          <w:tcPr>
            <w:tcW w:w="1650" w:type="dxa"/>
            <w:shd w:val="clear" w:color="auto" w:fill="FFFF00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19</w:t>
            </w:r>
          </w:p>
        </w:tc>
      </w:tr>
      <w:tr w:rsidR="004E5791" w:rsidTr="008B4EC4">
        <w:trPr>
          <w:trHeight w:val="348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Q2（学校执行）</w:t>
            </w:r>
          </w:p>
        </w:tc>
        <w:tc>
          <w:tcPr>
            <w:tcW w:w="147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105</w:t>
            </w:r>
          </w:p>
        </w:tc>
        <w:tc>
          <w:tcPr>
            <w:tcW w:w="126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120</w:t>
            </w:r>
          </w:p>
        </w:tc>
        <w:tc>
          <w:tcPr>
            <w:tcW w:w="1519" w:type="dxa"/>
            <w:shd w:val="clear" w:color="auto" w:fill="FEE595" w:themeFill="accent3" w:themeFillTint="66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146</w:t>
            </w:r>
          </w:p>
        </w:tc>
        <w:tc>
          <w:tcPr>
            <w:tcW w:w="1364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49</w:t>
            </w:r>
          </w:p>
        </w:tc>
        <w:tc>
          <w:tcPr>
            <w:tcW w:w="165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16</w:t>
            </w:r>
          </w:p>
        </w:tc>
      </w:tr>
      <w:tr w:rsidR="004E5791" w:rsidTr="0002342D">
        <w:trPr>
          <w:trHeight w:val="654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Q3（学院执行）</w:t>
            </w:r>
          </w:p>
        </w:tc>
        <w:tc>
          <w:tcPr>
            <w:tcW w:w="147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140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131</w:t>
            </w:r>
          </w:p>
        </w:tc>
        <w:tc>
          <w:tcPr>
            <w:tcW w:w="1519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128</w:t>
            </w:r>
          </w:p>
        </w:tc>
        <w:tc>
          <w:tcPr>
            <w:tcW w:w="1364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26</w:t>
            </w:r>
          </w:p>
        </w:tc>
        <w:tc>
          <w:tcPr>
            <w:tcW w:w="165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11</w:t>
            </w:r>
          </w:p>
        </w:tc>
      </w:tr>
      <w:tr w:rsidR="004E5791" w:rsidTr="00B34F02">
        <w:trPr>
          <w:trHeight w:val="348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Q4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（校服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务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态度）</w:t>
            </w:r>
          </w:p>
        </w:tc>
        <w:tc>
          <w:tcPr>
            <w:tcW w:w="147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113</w:t>
            </w:r>
          </w:p>
        </w:tc>
        <w:tc>
          <w:tcPr>
            <w:tcW w:w="126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126</w:t>
            </w:r>
          </w:p>
        </w:tc>
        <w:tc>
          <w:tcPr>
            <w:tcW w:w="1519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142</w:t>
            </w:r>
          </w:p>
        </w:tc>
        <w:tc>
          <w:tcPr>
            <w:tcW w:w="1364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40</w:t>
            </w:r>
          </w:p>
        </w:tc>
        <w:tc>
          <w:tcPr>
            <w:tcW w:w="165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15</w:t>
            </w:r>
          </w:p>
        </w:tc>
      </w:tr>
      <w:tr w:rsidR="004E5791" w:rsidTr="008B4EC4">
        <w:trPr>
          <w:trHeight w:val="348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Q5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（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院服务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态度）</w:t>
            </w:r>
          </w:p>
        </w:tc>
        <w:tc>
          <w:tcPr>
            <w:tcW w:w="147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161</w:t>
            </w:r>
          </w:p>
        </w:tc>
        <w:tc>
          <w:tcPr>
            <w:tcW w:w="1260" w:type="dxa"/>
            <w:shd w:val="clear" w:color="auto" w:fill="75BD42" w:themeFill="accent4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132</w:t>
            </w:r>
          </w:p>
        </w:tc>
        <w:tc>
          <w:tcPr>
            <w:tcW w:w="1519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117</w:t>
            </w:r>
          </w:p>
        </w:tc>
        <w:tc>
          <w:tcPr>
            <w:tcW w:w="1364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16</w:t>
            </w:r>
          </w:p>
        </w:tc>
        <w:tc>
          <w:tcPr>
            <w:tcW w:w="165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10</w:t>
            </w:r>
          </w:p>
        </w:tc>
      </w:tr>
      <w:tr w:rsidR="004E5791" w:rsidTr="008B4EC4">
        <w:trPr>
          <w:trHeight w:val="348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Q6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（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校运行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效率）</w:t>
            </w:r>
          </w:p>
        </w:tc>
        <w:tc>
          <w:tcPr>
            <w:tcW w:w="147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108</w:t>
            </w:r>
          </w:p>
        </w:tc>
        <w:tc>
          <w:tcPr>
            <w:tcW w:w="126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117</w:t>
            </w:r>
          </w:p>
        </w:tc>
        <w:tc>
          <w:tcPr>
            <w:tcW w:w="1519" w:type="dxa"/>
            <w:shd w:val="clear" w:color="auto" w:fill="FEE595" w:themeFill="accent3" w:themeFillTint="66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146</w:t>
            </w:r>
          </w:p>
        </w:tc>
        <w:tc>
          <w:tcPr>
            <w:tcW w:w="1364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49</w:t>
            </w:r>
          </w:p>
        </w:tc>
        <w:tc>
          <w:tcPr>
            <w:tcW w:w="165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16</w:t>
            </w:r>
          </w:p>
        </w:tc>
      </w:tr>
      <w:tr w:rsidR="004E5791" w:rsidTr="00B34F02">
        <w:trPr>
          <w:trHeight w:val="348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Q7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（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院运行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4"/>
                <w:lang w:val="en-US" w:bidi="ar-SA"/>
              </w:rPr>
              <w:t>效率）</w:t>
            </w:r>
          </w:p>
        </w:tc>
        <w:tc>
          <w:tcPr>
            <w:tcW w:w="147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148</w:t>
            </w:r>
          </w:p>
        </w:tc>
        <w:tc>
          <w:tcPr>
            <w:tcW w:w="126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123</w:t>
            </w:r>
          </w:p>
        </w:tc>
        <w:tc>
          <w:tcPr>
            <w:tcW w:w="1519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127</w:t>
            </w:r>
          </w:p>
        </w:tc>
        <w:tc>
          <w:tcPr>
            <w:tcW w:w="1364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29</w:t>
            </w:r>
          </w:p>
        </w:tc>
        <w:tc>
          <w:tcPr>
            <w:tcW w:w="165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9</w:t>
            </w:r>
          </w:p>
        </w:tc>
      </w:tr>
      <w:tr w:rsidR="004E5791" w:rsidTr="00B34F02">
        <w:trPr>
          <w:trHeight w:val="654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Q8（院整体）</w:t>
            </w:r>
          </w:p>
        </w:tc>
        <w:tc>
          <w:tcPr>
            <w:tcW w:w="1470" w:type="dxa"/>
            <w:shd w:val="clear" w:color="auto" w:fill="00B050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151</w:t>
            </w:r>
          </w:p>
        </w:tc>
        <w:tc>
          <w:tcPr>
            <w:tcW w:w="1260" w:type="dxa"/>
            <w:shd w:val="clear" w:color="auto" w:fill="75BD42" w:themeFill="accent4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132</w:t>
            </w:r>
          </w:p>
        </w:tc>
        <w:tc>
          <w:tcPr>
            <w:tcW w:w="1519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124</w:t>
            </w:r>
          </w:p>
        </w:tc>
        <w:tc>
          <w:tcPr>
            <w:tcW w:w="1364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19</w:t>
            </w:r>
          </w:p>
        </w:tc>
        <w:tc>
          <w:tcPr>
            <w:tcW w:w="1650" w:type="dxa"/>
            <w:shd w:val="clear" w:color="auto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10</w:t>
            </w:r>
          </w:p>
        </w:tc>
      </w:tr>
      <w:tr w:rsidR="004E5791" w:rsidTr="00B34F02">
        <w:trPr>
          <w:trHeight w:val="348"/>
          <w:jc w:val="center"/>
        </w:trPr>
        <w:tc>
          <w:tcPr>
            <w:tcW w:w="2205" w:type="dxa"/>
            <w:shd w:val="clear" w:color="000000" w:fill="91ABDF" w:themeFill="accent1" w:themeFillTint="99"/>
          </w:tcPr>
          <w:p w:rsidR="004E5791" w:rsidRDefault="005E3376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Q09（校整体）</w:t>
            </w:r>
          </w:p>
        </w:tc>
        <w:tc>
          <w:tcPr>
            <w:tcW w:w="1470" w:type="dxa"/>
            <w:shd w:val="clear" w:color="000000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112</w:t>
            </w:r>
          </w:p>
        </w:tc>
        <w:tc>
          <w:tcPr>
            <w:tcW w:w="1260" w:type="dxa"/>
            <w:shd w:val="clear" w:color="000000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122</w:t>
            </w:r>
          </w:p>
        </w:tc>
        <w:tc>
          <w:tcPr>
            <w:tcW w:w="1519" w:type="dxa"/>
            <w:shd w:val="clear" w:color="000000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138</w:t>
            </w:r>
          </w:p>
        </w:tc>
        <w:tc>
          <w:tcPr>
            <w:tcW w:w="1364" w:type="dxa"/>
            <w:shd w:val="clear" w:color="000000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47</w:t>
            </w:r>
          </w:p>
        </w:tc>
        <w:tc>
          <w:tcPr>
            <w:tcW w:w="1650" w:type="dxa"/>
            <w:shd w:val="clear" w:color="000000" w:fill="D8D8D8" w:themeFill="background1" w:themeFillShade="D8"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17</w:t>
            </w:r>
          </w:p>
        </w:tc>
      </w:tr>
    </w:tbl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选择“非常满意”的各分项中，本学院教学管理整体服务</w:t>
      </w:r>
      <w:r>
        <w:rPr>
          <w:rFonts w:ascii="仿宋_GB2312" w:eastAsia="仿宋_GB2312" w:hint="eastAsia"/>
          <w:sz w:val="28"/>
          <w:szCs w:val="28"/>
          <w:lang w:val="en-US"/>
        </w:rPr>
        <w:t>满意度</w:t>
      </w:r>
      <w:r>
        <w:rPr>
          <w:rFonts w:ascii="仿宋_GB2312" w:eastAsia="仿宋_GB2312"/>
          <w:sz w:val="28"/>
          <w:szCs w:val="28"/>
        </w:rPr>
        <w:t>最高；另外，对本学院教学管理运行效率满意度也最高。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在选择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满意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的各分项中，</w:t>
      </w:r>
      <w:r>
        <w:rPr>
          <w:rFonts w:ascii="仿宋_GB2312" w:eastAsia="仿宋_GB2312" w:hint="eastAsia"/>
          <w:sz w:val="28"/>
          <w:szCs w:val="28"/>
        </w:rPr>
        <w:t>对</w:t>
      </w:r>
      <w:proofErr w:type="gramStart"/>
      <w:r>
        <w:rPr>
          <w:rFonts w:ascii="仿宋_GB2312" w:eastAsia="仿宋_GB2312" w:hint="eastAsia"/>
          <w:sz w:val="28"/>
          <w:szCs w:val="28"/>
        </w:rPr>
        <w:t>本学院本学院</w:t>
      </w:r>
      <w:proofErr w:type="gramEnd"/>
      <w:r>
        <w:rPr>
          <w:rFonts w:ascii="仿宋_GB2312" w:eastAsia="仿宋_GB2312" w:hint="eastAsia"/>
          <w:sz w:val="28"/>
          <w:szCs w:val="28"/>
        </w:rPr>
        <w:t>教学管理人员的服务态度</w:t>
      </w:r>
      <w:r>
        <w:rPr>
          <w:rFonts w:ascii="仿宋_GB2312" w:eastAsia="仿宋_GB2312" w:hint="eastAsia"/>
          <w:sz w:val="28"/>
          <w:szCs w:val="28"/>
          <w:lang w:val="en-US"/>
        </w:rPr>
        <w:t>和</w:t>
      </w:r>
      <w:r>
        <w:rPr>
          <w:rFonts w:ascii="仿宋_GB2312" w:eastAsia="仿宋_GB2312" w:hint="eastAsia"/>
          <w:sz w:val="28"/>
          <w:szCs w:val="28"/>
        </w:rPr>
        <w:t>本学院教学管理整体服务满意</w:t>
      </w:r>
      <w:r>
        <w:rPr>
          <w:rFonts w:ascii="仿宋_GB2312" w:eastAsia="仿宋_GB2312" w:hint="eastAsia"/>
          <w:sz w:val="28"/>
          <w:szCs w:val="28"/>
          <w:lang w:val="en-US"/>
        </w:rPr>
        <w:t>度</w:t>
      </w:r>
      <w:r>
        <w:rPr>
          <w:rFonts w:ascii="仿宋_GB2312" w:eastAsia="仿宋_GB2312" w:hint="eastAsia"/>
          <w:sz w:val="28"/>
          <w:szCs w:val="28"/>
        </w:rPr>
        <w:t>最高。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在选择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  <w:lang w:val="en-US"/>
        </w:rPr>
        <w:t>比较</w:t>
      </w:r>
      <w:r>
        <w:rPr>
          <w:rFonts w:ascii="仿宋_GB2312" w:eastAsia="仿宋_GB2312"/>
          <w:sz w:val="28"/>
          <w:szCs w:val="28"/>
        </w:rPr>
        <w:t>满意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的各分项中，</w:t>
      </w:r>
      <w:r>
        <w:rPr>
          <w:rFonts w:ascii="仿宋_GB2312" w:eastAsia="仿宋_GB2312" w:hint="eastAsia"/>
          <w:sz w:val="28"/>
          <w:szCs w:val="28"/>
        </w:rPr>
        <w:t>对学校教学管理相关制度，对学校层面教学管理人员在执行制度，对学校教学管理的运行效率，比较满意最高。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在选择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不满意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非常不满意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的各分项中，</w:t>
      </w:r>
      <w:r>
        <w:rPr>
          <w:rFonts w:ascii="仿宋_GB2312" w:eastAsia="仿宋_GB2312" w:hint="eastAsia"/>
          <w:sz w:val="28"/>
          <w:szCs w:val="28"/>
        </w:rPr>
        <w:t>对学校教学管理相关制度不满意度最高。</w:t>
      </w:r>
    </w:p>
    <w:p w:rsidR="004E5791" w:rsidRDefault="005E337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（三）</w:t>
      </w:r>
      <w:r>
        <w:rPr>
          <w:rFonts w:ascii="仿宋_GB2312" w:eastAsia="仿宋_GB2312" w:hint="eastAsia"/>
          <w:b/>
          <w:sz w:val="28"/>
          <w:szCs w:val="28"/>
          <w:lang w:val="en-US"/>
        </w:rPr>
        <w:t>对教师满意度问卷调查结果初步</w:t>
      </w:r>
      <w:r>
        <w:rPr>
          <w:rFonts w:ascii="仿宋_GB2312" w:eastAsia="仿宋_GB2312" w:hint="eastAsia"/>
          <w:b/>
          <w:sz w:val="28"/>
          <w:szCs w:val="28"/>
        </w:rPr>
        <w:t>分析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  <w:lang w:val="en-US"/>
        </w:rPr>
        <w:t>本学期教师对教学管理及服务满意度调查满意度比上学期有所下降，总体满意度88.4%（上学期93.75%）。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  <w:lang w:val="en-US"/>
        </w:rPr>
        <w:lastRenderedPageBreak/>
        <w:t>与上学期相比，校级层面管理相关制度、校级层面制度执行、校级层面服务态度、校级层面整体满意度均从90%以上下降至80%，尤其是对校级教学管理制度满意度最低，仅82.56%。结合目前学校制度建设攻坚行动，在校级管理制度建设方面（包括执行方面）是不是充分考虑了教师的切身利益，比如涉及工作量计算，涉及教师教学规范的执行方面（是否只重查处而不重疏导）、涉及教师绩效考评，及排课、设备使用等等方面，是否存在教师不满意的突出问题。通过二级学院教师座谈等渠道，可以收集和总结一些当前教师的突出意见。</w:t>
      </w:r>
    </w:p>
    <w:p w:rsidR="004E5791" w:rsidRDefault="005E3376">
      <w:pPr>
        <w:pStyle w:val="a3"/>
        <w:spacing w:before="3"/>
        <w:ind w:left="600"/>
        <w:rPr>
          <w:b/>
          <w:sz w:val="32"/>
          <w:szCs w:val="32"/>
        </w:rPr>
      </w:pPr>
      <w:r>
        <w:rPr>
          <w:b/>
          <w:sz w:val="32"/>
          <w:szCs w:val="32"/>
        </w:rPr>
        <w:t>二、学生对</w:t>
      </w:r>
      <w:r>
        <w:rPr>
          <w:rFonts w:hint="eastAsia"/>
          <w:b/>
          <w:sz w:val="32"/>
          <w:szCs w:val="32"/>
          <w:lang w:val="en-US"/>
        </w:rPr>
        <w:t>学校</w:t>
      </w:r>
      <w:r>
        <w:rPr>
          <w:b/>
          <w:sz w:val="32"/>
          <w:szCs w:val="32"/>
        </w:rPr>
        <w:t>管理</w:t>
      </w:r>
      <w:r>
        <w:rPr>
          <w:rFonts w:hint="eastAsia"/>
          <w:b/>
          <w:sz w:val="32"/>
          <w:szCs w:val="32"/>
          <w:lang w:val="en-US"/>
        </w:rPr>
        <w:t>及</w:t>
      </w:r>
      <w:r>
        <w:rPr>
          <w:b/>
          <w:sz w:val="32"/>
          <w:szCs w:val="32"/>
        </w:rPr>
        <w:t>服务满意度</w:t>
      </w:r>
    </w:p>
    <w:p w:rsidR="004E5791" w:rsidRDefault="005E337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（一）学生满意度总体情况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截止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lang w:val="en-US"/>
        </w:rPr>
        <w:t>7</w:t>
      </w:r>
      <w:r>
        <w:rPr>
          <w:rFonts w:ascii="仿宋_GB2312" w:eastAsia="仿宋_GB2312"/>
          <w:sz w:val="28"/>
          <w:szCs w:val="28"/>
        </w:rPr>
        <w:t>月</w:t>
      </w:r>
      <w:r w:rsidR="00C96E6A">
        <w:rPr>
          <w:rFonts w:ascii="仿宋_GB2312" w:eastAsia="仿宋_GB2312" w:hint="eastAsia"/>
          <w:sz w:val="28"/>
          <w:szCs w:val="28"/>
          <w:lang w:val="en-US"/>
        </w:rPr>
        <w:t>23</w:t>
      </w:r>
      <w:r>
        <w:rPr>
          <w:rFonts w:ascii="仿宋_GB2312" w:eastAsia="仿宋_GB2312"/>
          <w:sz w:val="28"/>
          <w:szCs w:val="28"/>
        </w:rPr>
        <w:t>日，参加满意度调查问卷答卷学生</w:t>
      </w:r>
      <w:r w:rsidR="00C96E6A">
        <w:rPr>
          <w:rFonts w:ascii="仿宋_GB2312" w:eastAsia="仿宋_GB2312" w:hint="eastAsia"/>
          <w:sz w:val="28"/>
          <w:szCs w:val="28"/>
          <w:lang w:val="en-US"/>
        </w:rPr>
        <w:t>12861</w:t>
      </w:r>
      <w:r>
        <w:rPr>
          <w:rFonts w:ascii="仿宋_GB2312" w:eastAsia="仿宋_GB2312"/>
          <w:sz w:val="28"/>
          <w:szCs w:val="28"/>
        </w:rPr>
        <w:t>人</w:t>
      </w:r>
      <w:r w:rsidR="0035356F">
        <w:rPr>
          <w:rFonts w:ascii="仿宋_GB2312" w:eastAsia="仿宋_GB2312"/>
          <w:sz w:val="28"/>
          <w:szCs w:val="28"/>
        </w:rPr>
        <w:t>（在校生数</w:t>
      </w:r>
      <w:r w:rsidR="0035356F">
        <w:rPr>
          <w:rFonts w:ascii="仿宋_GB2312" w:eastAsia="仿宋_GB2312" w:hint="eastAsia"/>
          <w:sz w:val="28"/>
          <w:szCs w:val="28"/>
        </w:rPr>
        <w:t>18451</w:t>
      </w:r>
      <w:r w:rsidR="0035356F"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,参与度</w:t>
      </w:r>
      <w:r w:rsidR="0035356F">
        <w:rPr>
          <w:rFonts w:ascii="仿宋_GB2312" w:eastAsia="仿宋_GB2312" w:hint="eastAsia"/>
          <w:sz w:val="28"/>
          <w:szCs w:val="28"/>
          <w:lang w:val="en-US"/>
        </w:rPr>
        <w:t>69.</w:t>
      </w:r>
      <w:r>
        <w:rPr>
          <w:rFonts w:ascii="仿宋_GB2312" w:eastAsia="仿宋_GB2312" w:hint="eastAsia"/>
          <w:sz w:val="28"/>
          <w:szCs w:val="28"/>
          <w:lang w:val="en-US"/>
        </w:rPr>
        <w:t>7%</w:t>
      </w:r>
      <w:r>
        <w:rPr>
          <w:rFonts w:ascii="仿宋_GB2312" w:eastAsia="仿宋_GB2312"/>
          <w:sz w:val="28"/>
          <w:szCs w:val="28"/>
        </w:rPr>
        <w:t>。本学</w:t>
      </w:r>
      <w:r>
        <w:rPr>
          <w:rFonts w:ascii="仿宋_GB2312" w:eastAsia="仿宋_GB2312" w:hint="eastAsia"/>
          <w:sz w:val="28"/>
          <w:szCs w:val="28"/>
        </w:rPr>
        <w:t>期学生对教学服务总体满意度较好，总体答卷满意度</w:t>
      </w:r>
      <w:r w:rsidR="00E00C4B">
        <w:rPr>
          <w:rFonts w:ascii="仿宋_GB2312" w:eastAsia="仿宋_GB2312" w:hint="eastAsia"/>
          <w:sz w:val="28"/>
          <w:szCs w:val="28"/>
          <w:lang w:val="en-US"/>
        </w:rPr>
        <w:t>94.34</w:t>
      </w:r>
      <w:r>
        <w:rPr>
          <w:rFonts w:ascii="仿宋_GB2312" w:eastAsia="仿宋_GB2312" w:hint="eastAsia"/>
          <w:sz w:val="28"/>
          <w:szCs w:val="28"/>
          <w:lang w:val="en-US"/>
        </w:rPr>
        <w:t>%（上学期</w:t>
      </w:r>
      <w:r>
        <w:rPr>
          <w:rFonts w:ascii="仿宋_GB2312" w:eastAsia="仿宋_GB2312" w:hint="eastAsia"/>
          <w:sz w:val="28"/>
          <w:szCs w:val="28"/>
        </w:rPr>
        <w:t>95.23</w:t>
      </w:r>
      <w:r>
        <w:rPr>
          <w:rFonts w:ascii="仿宋_GB2312" w:eastAsia="仿宋_GB2312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各二级学院学生满意度调查问卷参与度，</w:t>
      </w:r>
      <w:r>
        <w:rPr>
          <w:rFonts w:ascii="仿宋_GB2312" w:eastAsia="仿宋_GB2312"/>
          <w:sz w:val="28"/>
          <w:szCs w:val="28"/>
        </w:rPr>
        <w:t>具体数据见下表：</w:t>
      </w:r>
    </w:p>
    <w:p w:rsidR="004E5791" w:rsidRDefault="001A49E0">
      <w:pPr>
        <w:jc w:val="center"/>
        <w:rPr>
          <w:rFonts w:ascii="黑体" w:eastAsia="黑体" w:hAnsi="黑体"/>
          <w:sz w:val="32"/>
          <w:szCs w:val="32"/>
        </w:rPr>
      </w:pPr>
      <w:r>
        <w:rPr>
          <w:noProof/>
          <w:lang w:val="en-US" w:bidi="ar-SA"/>
        </w:rPr>
        <w:drawing>
          <wp:inline distT="0" distB="0" distL="0" distR="0" wp14:anchorId="073E70DB" wp14:editId="017C2767">
            <wp:extent cx="4572000" cy="26289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本学期学生对</w:t>
      </w:r>
      <w:r>
        <w:rPr>
          <w:rFonts w:ascii="仿宋_GB2312" w:eastAsia="仿宋_GB2312" w:hint="eastAsia"/>
          <w:sz w:val="28"/>
          <w:szCs w:val="28"/>
          <w:lang w:val="en-US"/>
        </w:rPr>
        <w:t>学校管理及</w:t>
      </w:r>
      <w:r>
        <w:rPr>
          <w:rFonts w:ascii="仿宋_GB2312" w:eastAsia="仿宋_GB2312" w:hint="eastAsia"/>
          <w:sz w:val="28"/>
          <w:szCs w:val="28"/>
        </w:rPr>
        <w:t>服务满意度调查分为</w:t>
      </w:r>
      <w:r>
        <w:rPr>
          <w:rFonts w:ascii="仿宋_GB2312" w:eastAsia="仿宋_GB2312" w:hint="eastAsia"/>
          <w:sz w:val="28"/>
          <w:szCs w:val="28"/>
          <w:lang w:val="en-US"/>
        </w:rPr>
        <w:t>2</w:t>
      </w:r>
      <w:r>
        <w:rPr>
          <w:rFonts w:ascii="仿宋_GB2312" w:eastAsia="仿宋_GB2312"/>
          <w:sz w:val="28"/>
          <w:szCs w:val="28"/>
        </w:rPr>
        <w:t>个维度</w:t>
      </w:r>
      <w:r>
        <w:rPr>
          <w:rFonts w:ascii="仿宋_GB2312" w:eastAsia="仿宋_GB2312" w:hint="eastAsia"/>
          <w:sz w:val="28"/>
          <w:szCs w:val="28"/>
          <w:lang w:val="en-US"/>
        </w:rPr>
        <w:t>12个</w:t>
      </w:r>
      <w:r>
        <w:rPr>
          <w:rFonts w:ascii="仿宋_GB2312" w:eastAsia="仿宋_GB2312"/>
          <w:sz w:val="28"/>
          <w:szCs w:val="28"/>
        </w:rPr>
        <w:t>分项：</w:t>
      </w:r>
    </w:p>
    <w:p w:rsidR="004E5791" w:rsidRDefault="005E3376">
      <w:pPr>
        <w:pStyle w:val="a3"/>
        <w:rPr>
          <w:rFonts w:ascii="仿宋_GB2312" w:eastAsia="仿宋_GB2312"/>
          <w:b/>
          <w:bCs/>
          <w:sz w:val="28"/>
          <w:szCs w:val="28"/>
          <w:lang w:val="en-US"/>
        </w:rPr>
      </w:pPr>
      <w:r>
        <w:rPr>
          <w:rFonts w:ascii="仿宋_GB2312" w:eastAsia="仿宋_GB2312" w:hint="eastAsia"/>
          <w:b/>
          <w:bCs/>
          <w:sz w:val="28"/>
          <w:szCs w:val="28"/>
          <w:lang w:val="en-US"/>
        </w:rPr>
        <w:lastRenderedPageBreak/>
        <w:t>1.对学校管理及服务满意度：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</w:t>
      </w:r>
      <w:r>
        <w:rPr>
          <w:rFonts w:ascii="仿宋_GB2312" w:eastAsia="仿宋_GB2312" w:hint="eastAsia"/>
          <w:sz w:val="28"/>
          <w:szCs w:val="28"/>
        </w:rPr>
        <w:t>1：你对学校层面学生评奖、评优活动开展公平合理的满意度（</w:t>
      </w:r>
      <w:r w:rsidR="00245807">
        <w:rPr>
          <w:rFonts w:ascii="仿宋_GB2312" w:eastAsia="仿宋_GB2312" w:hint="eastAsia"/>
          <w:sz w:val="28"/>
          <w:szCs w:val="28"/>
          <w:lang w:val="en-US"/>
        </w:rPr>
        <w:t>95.15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Q2：你对本学院学生评奖、评优活动开展公平合理的满意度（</w:t>
      </w:r>
      <w:r w:rsidR="00914152">
        <w:rPr>
          <w:rFonts w:ascii="仿宋_GB2312" w:eastAsia="仿宋_GB2312" w:hint="eastAsia"/>
          <w:sz w:val="28"/>
          <w:szCs w:val="28"/>
          <w:lang w:val="en-US"/>
        </w:rPr>
        <w:t>94.98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）Q3：</w:t>
      </w:r>
      <w:r>
        <w:rPr>
          <w:rFonts w:ascii="仿宋_GB2312" w:eastAsia="仿宋_GB2312" w:hint="eastAsia"/>
          <w:sz w:val="28"/>
          <w:szCs w:val="28"/>
          <w:lang w:val="en-US"/>
        </w:rPr>
        <w:t>你</w:t>
      </w:r>
      <w:r>
        <w:rPr>
          <w:rFonts w:ascii="仿宋_GB2312" w:eastAsia="仿宋_GB2312" w:hint="eastAsia"/>
          <w:sz w:val="28"/>
          <w:szCs w:val="28"/>
        </w:rPr>
        <w:t>对学校经常组织高水平的讲座或学术报告的满意度（</w:t>
      </w:r>
      <w:r w:rsidR="00332403">
        <w:rPr>
          <w:rFonts w:ascii="仿宋_GB2312" w:eastAsia="仿宋_GB2312" w:hint="eastAsia"/>
          <w:sz w:val="28"/>
          <w:szCs w:val="28"/>
          <w:lang w:val="en-US"/>
        </w:rPr>
        <w:t>94.97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Q4：你对学校提供的选修课能够满足学生学习需求的满意度（</w:t>
      </w:r>
      <w:r w:rsidR="00EF6A10">
        <w:rPr>
          <w:rFonts w:ascii="仿宋_GB2312" w:eastAsia="仿宋_GB2312" w:hint="eastAsia"/>
          <w:sz w:val="28"/>
          <w:szCs w:val="28"/>
          <w:lang w:val="en-US"/>
        </w:rPr>
        <w:t>94.33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Q5: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你对学校的心理健康教育提供帮助的满意度(</w:t>
      </w:r>
      <w:r w:rsidR="00EF6A10">
        <w:rPr>
          <w:rFonts w:ascii="仿宋_GB2312" w:eastAsia="仿宋_GB2312" w:hint="eastAsia"/>
          <w:sz w:val="28"/>
          <w:szCs w:val="28"/>
          <w:lang w:val="en-US"/>
        </w:rPr>
        <w:t>95.98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Q6: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你对学校学生社团活动组织的满意度(</w:t>
      </w:r>
      <w:r w:rsidR="00EF6A10">
        <w:rPr>
          <w:rFonts w:ascii="仿宋_GB2312" w:eastAsia="仿宋_GB2312" w:hint="eastAsia"/>
          <w:sz w:val="28"/>
          <w:szCs w:val="28"/>
          <w:lang w:val="en-US"/>
        </w:rPr>
        <w:t>94.66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Q7: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你对学校教室、自习室和阅览室等能够满足学生的学习需要的满意度(</w:t>
      </w:r>
      <w:r w:rsidR="007D6825">
        <w:rPr>
          <w:rFonts w:ascii="仿宋_GB2312" w:eastAsia="仿宋_GB2312" w:hint="eastAsia"/>
          <w:sz w:val="28"/>
          <w:szCs w:val="28"/>
          <w:lang w:val="en-US"/>
        </w:rPr>
        <w:t>94.13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Q8: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你对学校运动场馆和体育设施等满足学生需要的满意度(</w:t>
      </w:r>
      <w:r>
        <w:rPr>
          <w:rFonts w:ascii="仿宋_GB2312" w:eastAsia="仿宋_GB2312" w:hint="eastAsia"/>
          <w:sz w:val="28"/>
          <w:szCs w:val="28"/>
          <w:lang w:val="en-US"/>
        </w:rPr>
        <w:t>91.2</w:t>
      </w:r>
      <w:r w:rsidR="007D6825"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  <w:lang w:val="en-US"/>
        </w:rPr>
        <w:t>2.对学校总体满意度：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Q9: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总的来说，你对学校教学服务管理部门的满意度为(</w:t>
      </w:r>
      <w:r w:rsidR="00CB0D60">
        <w:rPr>
          <w:rFonts w:ascii="仿宋_GB2312" w:eastAsia="仿宋_GB2312" w:hint="eastAsia"/>
          <w:sz w:val="28"/>
          <w:szCs w:val="28"/>
          <w:lang w:val="en-US"/>
        </w:rPr>
        <w:t>93.24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Q10: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总的来说，你对本学院教学服务管理部门的满意度为(</w:t>
      </w:r>
      <w:r w:rsidR="00F501F8">
        <w:rPr>
          <w:rFonts w:ascii="仿宋_GB2312" w:eastAsia="仿宋_GB2312" w:hint="eastAsia"/>
          <w:sz w:val="28"/>
          <w:szCs w:val="28"/>
          <w:lang w:val="en-US"/>
        </w:rPr>
        <w:t>93.48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Q11: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总的来说，你对本学院学生服务管理部门的满意度为(</w:t>
      </w:r>
      <w:r w:rsidR="00477C9C">
        <w:rPr>
          <w:rFonts w:ascii="仿宋_GB2312" w:eastAsia="仿宋_GB2312" w:hint="eastAsia"/>
          <w:sz w:val="28"/>
          <w:szCs w:val="28"/>
          <w:lang w:val="en-US"/>
        </w:rPr>
        <w:t>93.64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4E5791" w:rsidRDefault="005E3376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Q12: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你对学校的师生关系融洽满意度(</w:t>
      </w:r>
      <w:r>
        <w:rPr>
          <w:rFonts w:ascii="仿宋_GB2312" w:eastAsia="仿宋_GB2312" w:hint="eastAsia"/>
          <w:sz w:val="28"/>
          <w:szCs w:val="28"/>
          <w:lang w:val="en-US"/>
        </w:rPr>
        <w:t>96.37%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4E5791" w:rsidRDefault="005E3376">
      <w:pPr>
        <w:ind w:firstLineChars="200" w:firstLine="56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(二)</w:t>
      </w:r>
      <w:r>
        <w:rPr>
          <w:rFonts w:ascii="仿宋_GB2312" w:eastAsia="仿宋_GB2312" w:hint="eastAsia"/>
          <w:b/>
          <w:sz w:val="28"/>
          <w:szCs w:val="28"/>
        </w:rPr>
        <w:t xml:space="preserve"> 学生</w:t>
      </w:r>
      <w:r>
        <w:rPr>
          <w:rFonts w:ascii="仿宋_GB2312" w:eastAsia="仿宋_GB2312" w:hint="eastAsia"/>
          <w:b/>
          <w:sz w:val="28"/>
          <w:szCs w:val="28"/>
          <w:lang w:val="en-US"/>
        </w:rPr>
        <w:t>对学校管理及服务</w:t>
      </w:r>
      <w:r>
        <w:rPr>
          <w:rFonts w:ascii="仿宋_GB2312" w:eastAsia="仿宋_GB2312" w:hint="eastAsia"/>
          <w:b/>
          <w:sz w:val="28"/>
          <w:szCs w:val="28"/>
        </w:rPr>
        <w:t>满意度分析</w:t>
      </w:r>
    </w:p>
    <w:p w:rsidR="004E5791" w:rsidRDefault="005E3376">
      <w:pPr>
        <w:pStyle w:val="a3"/>
        <w:spacing w:before="42" w:line="364" w:lineRule="auto"/>
        <w:ind w:leftChars="55" w:left="121" w:right="577"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1.总体满意度：</w:t>
      </w:r>
      <w:r>
        <w:rPr>
          <w:rFonts w:ascii="仿宋_GB2312" w:eastAsia="仿宋_GB2312"/>
          <w:sz w:val="28"/>
          <w:szCs w:val="28"/>
        </w:rPr>
        <w:t>本学期学生对学校管理及服务总体和各分项满意度</w:t>
      </w:r>
      <w:r>
        <w:rPr>
          <w:rFonts w:ascii="仿宋_GB2312" w:eastAsia="仿宋_GB2312" w:hint="eastAsia"/>
          <w:sz w:val="28"/>
          <w:szCs w:val="28"/>
          <w:lang w:val="en-US"/>
        </w:rPr>
        <w:t>较</w:t>
      </w:r>
      <w:r>
        <w:rPr>
          <w:rFonts w:ascii="仿宋_GB2312" w:eastAsia="仿宋_GB2312"/>
          <w:sz w:val="28"/>
          <w:szCs w:val="28"/>
        </w:rPr>
        <w:t>高，本学期学生对学校管理及服务总体满意</w:t>
      </w:r>
      <w:r>
        <w:rPr>
          <w:rFonts w:ascii="仿宋_GB2312" w:eastAsia="仿宋_GB2312" w:hint="eastAsia"/>
          <w:sz w:val="28"/>
          <w:szCs w:val="28"/>
          <w:lang w:val="en-US"/>
        </w:rPr>
        <w:t>度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</w:rPr>
        <w:t>.3</w:t>
      </w:r>
      <w:r>
        <w:rPr>
          <w:rFonts w:ascii="仿宋_GB2312" w:eastAsia="仿宋_GB2312" w:hint="eastAsia"/>
          <w:sz w:val="28"/>
          <w:szCs w:val="28"/>
          <w:lang w:val="en-US"/>
        </w:rPr>
        <w:t>7</w:t>
      </w:r>
      <w:r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  <w:lang w:val="en-US"/>
        </w:rPr>
        <w:t>23</w:t>
      </w:r>
      <w:r>
        <w:rPr>
          <w:rFonts w:ascii="仿宋_GB2312" w:eastAsia="仿宋_GB2312" w:hint="eastAsia"/>
          <w:sz w:val="28"/>
          <w:szCs w:val="28"/>
        </w:rPr>
        <w:t>-202</w:t>
      </w:r>
      <w:r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</w:rPr>
        <w:t>学年第</w:t>
      </w:r>
      <w:r>
        <w:rPr>
          <w:rFonts w:ascii="仿宋_GB2312" w:eastAsia="仿宋_GB2312" w:hint="eastAsia"/>
          <w:sz w:val="28"/>
          <w:szCs w:val="28"/>
          <w:lang w:val="en-US"/>
        </w:rPr>
        <w:t>一</w:t>
      </w:r>
      <w:r>
        <w:rPr>
          <w:rFonts w:ascii="仿宋_GB2312" w:eastAsia="仿宋_GB2312" w:hint="eastAsia"/>
          <w:sz w:val="28"/>
          <w:szCs w:val="28"/>
        </w:rPr>
        <w:t>学期总体满意度9</w:t>
      </w:r>
      <w:r>
        <w:rPr>
          <w:rFonts w:ascii="仿宋_GB2312" w:eastAsia="仿宋_GB2312" w:hint="eastAsia"/>
          <w:sz w:val="28"/>
          <w:szCs w:val="28"/>
          <w:lang w:val="en-US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  <w:lang w:val="en-US"/>
        </w:rPr>
        <w:t>23</w:t>
      </w:r>
      <w:r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/>
          <w:sz w:val="28"/>
          <w:szCs w:val="28"/>
        </w:rPr>
        <w:t>）。</w:t>
      </w:r>
    </w:p>
    <w:p w:rsidR="004E5791" w:rsidRDefault="005E3376">
      <w:pPr>
        <w:pStyle w:val="a3"/>
        <w:spacing w:before="1"/>
        <w:ind w:left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具体数据见下表：</w:t>
      </w:r>
      <w:bookmarkStart w:id="0" w:name="_GoBack"/>
      <w:bookmarkEnd w:id="0"/>
    </w:p>
    <w:p w:rsidR="004E5791" w:rsidRDefault="00A635C0">
      <w:pPr>
        <w:rPr>
          <w:rFonts w:ascii="黑体" w:eastAsia="黑体" w:hAnsi="黑体"/>
          <w:sz w:val="32"/>
          <w:szCs w:val="32"/>
        </w:rPr>
      </w:pPr>
      <w:r>
        <w:rPr>
          <w:noProof/>
          <w:lang w:val="en-US" w:bidi="ar-SA"/>
        </w:rPr>
        <w:lastRenderedPageBreak/>
        <w:drawing>
          <wp:inline distT="0" distB="0" distL="0" distR="0" wp14:anchorId="1300437B" wp14:editId="0C298DD8">
            <wp:extent cx="5274310" cy="2831889"/>
            <wp:effectExtent l="0" t="0" r="21590" b="2603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5791" w:rsidRDefault="005E3376">
      <w:pPr>
        <w:pStyle w:val="a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lang w:val="en-US"/>
        </w:rPr>
        <w:t>其中，</w:t>
      </w:r>
      <w:r>
        <w:rPr>
          <w:rFonts w:ascii="仿宋_GB2312" w:eastAsia="仿宋_GB2312" w:hint="eastAsia"/>
          <w:sz w:val="28"/>
          <w:szCs w:val="28"/>
        </w:rPr>
        <w:t>“学校的师生关系融洽满意度”评价</w:t>
      </w:r>
      <w:r>
        <w:rPr>
          <w:rFonts w:ascii="仿宋_GB2312" w:eastAsia="仿宋_GB2312" w:hint="eastAsia"/>
          <w:sz w:val="28"/>
          <w:szCs w:val="28"/>
          <w:lang w:val="en-US"/>
        </w:rPr>
        <w:t>最高，</w:t>
      </w:r>
      <w:r w:rsidR="004A219A">
        <w:rPr>
          <w:rFonts w:ascii="仿宋_GB2312" w:eastAsia="仿宋_GB2312" w:hint="eastAsia"/>
          <w:sz w:val="28"/>
          <w:szCs w:val="28"/>
          <w:lang w:val="en-US"/>
        </w:rPr>
        <w:t>满意度</w:t>
      </w:r>
      <w:r>
        <w:rPr>
          <w:rFonts w:ascii="仿宋_GB2312" w:eastAsia="仿宋_GB2312" w:hint="eastAsia"/>
          <w:sz w:val="28"/>
          <w:szCs w:val="28"/>
          <w:lang w:val="en-US"/>
        </w:rPr>
        <w:t>96.37%，“对学校运动场馆和体育设施等满足学生需要的满意度”评价最低</w:t>
      </w:r>
      <w:r w:rsidR="004A219A">
        <w:rPr>
          <w:rFonts w:ascii="仿宋_GB2312" w:eastAsia="仿宋_GB2312" w:hint="eastAsia"/>
          <w:sz w:val="28"/>
          <w:szCs w:val="28"/>
          <w:lang w:val="en-US"/>
        </w:rPr>
        <w:t>，满意度</w:t>
      </w:r>
      <w:r>
        <w:rPr>
          <w:rFonts w:ascii="仿宋_GB2312" w:eastAsia="仿宋_GB2312" w:hint="eastAsia"/>
          <w:sz w:val="28"/>
          <w:szCs w:val="28"/>
          <w:lang w:val="en-US"/>
        </w:rPr>
        <w:t>91.2</w:t>
      </w:r>
      <w:r w:rsidR="007D6825">
        <w:rPr>
          <w:rFonts w:ascii="仿宋_GB2312" w:eastAsia="仿宋_GB2312" w:hint="eastAsia"/>
          <w:sz w:val="28"/>
          <w:szCs w:val="28"/>
          <w:lang w:val="en-US"/>
        </w:rPr>
        <w:t>4</w:t>
      </w:r>
      <w:r>
        <w:rPr>
          <w:rFonts w:ascii="仿宋_GB2312" w:eastAsia="仿宋_GB2312" w:hint="eastAsia"/>
          <w:sz w:val="28"/>
          <w:szCs w:val="28"/>
          <w:lang w:val="en-US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E5791" w:rsidRDefault="005E337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2.问卷各分项满意度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709"/>
        <w:gridCol w:w="1417"/>
        <w:gridCol w:w="1365"/>
        <w:gridCol w:w="1559"/>
        <w:gridCol w:w="1329"/>
        <w:gridCol w:w="1701"/>
      </w:tblGrid>
      <w:tr w:rsidR="004E5791" w:rsidTr="00BF0A0B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/>
                <w:color w:val="FFFFFF" w:themeColor="background1"/>
                <w:sz w:val="28"/>
                <w:szCs w:val="28"/>
                <w:lang w:val="en-US" w:bidi="ar-SA"/>
              </w:rPr>
              <w:t>问卷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00B050"/>
            <w:noWrap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非常满意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92D050"/>
            <w:noWrap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满意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FFC000"/>
            <w:noWrap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比较满意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auto" w:fill="0070C0"/>
            <w:noWrap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FFFFFF" w:themeColor="background1"/>
                <w:sz w:val="28"/>
                <w:szCs w:val="28"/>
                <w:lang w:val="en-US" w:bidi="ar-SA"/>
              </w:rPr>
              <w:t>不满意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7030A0"/>
            <w:noWrap/>
            <w:vAlign w:val="center"/>
          </w:tcPr>
          <w:p w:rsidR="004E5791" w:rsidRDefault="005E3376">
            <w:pPr>
              <w:widowControl/>
              <w:autoSpaceDE/>
              <w:autoSpaceDN/>
              <w:jc w:val="center"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FFFFFF" w:themeColor="background1"/>
                <w:sz w:val="28"/>
                <w:szCs w:val="28"/>
                <w:lang w:val="en-US" w:bidi="ar-SA"/>
              </w:rPr>
              <w:t>非常不满意</w:t>
            </w:r>
          </w:p>
        </w:tc>
      </w:tr>
      <w:tr w:rsidR="0072116D" w:rsidRPr="0072116D" w:rsidTr="00BF0A0B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Q1学校评奖评优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4768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242</w:t>
            </w:r>
          </w:p>
        </w:tc>
      </w:tr>
      <w:tr w:rsidR="0072116D" w:rsidRPr="0072116D" w:rsidTr="00AE1823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Q2学院评奖评优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4668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4065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3483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245</w:t>
            </w:r>
          </w:p>
        </w:tc>
      </w:tr>
      <w:tr w:rsidR="0072116D" w:rsidRPr="0072116D" w:rsidTr="00AE1823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Q3讲座报告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4575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4096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3543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255</w:t>
            </w:r>
          </w:p>
        </w:tc>
      </w:tr>
      <w:tr w:rsidR="0072116D" w:rsidRPr="0072116D" w:rsidTr="00AE1823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Q4选修课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4567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4082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3483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267</w:t>
            </w:r>
          </w:p>
        </w:tc>
      </w:tr>
      <w:tr w:rsidR="0072116D" w:rsidRPr="0072116D" w:rsidTr="00AE1823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Q5心理健康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4634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3503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214</w:t>
            </w:r>
          </w:p>
        </w:tc>
      </w:tr>
      <w:tr w:rsidR="0072116D" w:rsidRPr="0072116D" w:rsidTr="00AE1823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Q6社团活动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4454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4089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3631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267</w:t>
            </w:r>
          </w:p>
        </w:tc>
      </w:tr>
      <w:tr w:rsidR="0072116D" w:rsidRPr="0072116D" w:rsidTr="00BF0A0B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Q7教室自习阅览室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4594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4075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3437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274</w:t>
            </w:r>
          </w:p>
        </w:tc>
      </w:tr>
      <w:tr w:rsidR="0072116D" w:rsidRPr="0072116D" w:rsidTr="00BF0A0B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Q8运动场馆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4380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3824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3530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435</w:t>
            </w:r>
          </w:p>
        </w:tc>
      </w:tr>
      <w:tr w:rsidR="0072116D" w:rsidRPr="0072116D" w:rsidTr="00BF0A0B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Q9学校教学服务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4328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3967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3696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363</w:t>
            </w:r>
          </w:p>
        </w:tc>
      </w:tr>
      <w:tr w:rsidR="0072116D" w:rsidRPr="0072116D" w:rsidTr="00BF0A0B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lastRenderedPageBreak/>
              <w:t>Q10学院教学服务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4383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3988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3652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329</w:t>
            </w:r>
          </w:p>
        </w:tc>
      </w:tr>
      <w:tr w:rsidR="0072116D" w:rsidRPr="0072116D" w:rsidTr="00BF0A0B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Q11学院学生服务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4373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3973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BA02" w:themeFill="accent3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3697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333</w:t>
            </w:r>
          </w:p>
        </w:tc>
      </w:tr>
      <w:tr w:rsidR="0072116D" w:rsidRPr="0072116D" w:rsidTr="00BF0A0B">
        <w:trPr>
          <w:trHeight w:val="27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91ABDF" w:themeFill="accent1" w:themeFillTint="99"/>
            <w:noWrap/>
            <w:vAlign w:val="center"/>
          </w:tcPr>
          <w:p w:rsidR="0072116D" w:rsidRDefault="0072116D">
            <w:pPr>
              <w:widowControl/>
              <w:autoSpaceDE/>
              <w:autoSpaceDN/>
              <w:rPr>
                <w:rFonts w:ascii="黑体" w:eastAsia="黑体" w:hAnsi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 w:bidi="ar-SA"/>
              </w:rPr>
              <w:t>Q12师生关系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4687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3403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2116D" w:rsidRPr="0072116D" w:rsidRDefault="0072116D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2116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222</w:t>
            </w:r>
          </w:p>
        </w:tc>
      </w:tr>
    </w:tbl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</w:rPr>
        <w:t>在选择“非常</w:t>
      </w:r>
      <w:r>
        <w:rPr>
          <w:rFonts w:ascii="仿宋_GB2312" w:eastAsia="仿宋_GB2312" w:hint="eastAsia"/>
          <w:sz w:val="28"/>
          <w:szCs w:val="28"/>
          <w:lang w:val="en-US"/>
        </w:rPr>
        <w:t>满意</w:t>
      </w:r>
      <w:r>
        <w:rPr>
          <w:rFonts w:ascii="仿宋_GB2312" w:eastAsia="仿宋_GB2312" w:hint="eastAsia"/>
          <w:sz w:val="28"/>
          <w:szCs w:val="28"/>
        </w:rPr>
        <w:t>”的各分项中，“学校层面学生评奖、评优活动开展公平合理的满意度”</w:t>
      </w:r>
      <w:r>
        <w:rPr>
          <w:rFonts w:ascii="仿宋_GB2312" w:eastAsia="仿宋_GB2312" w:hint="eastAsia"/>
          <w:sz w:val="28"/>
          <w:szCs w:val="28"/>
          <w:lang w:val="en-US"/>
        </w:rPr>
        <w:t>最高，</w:t>
      </w:r>
      <w:r>
        <w:rPr>
          <w:rFonts w:ascii="仿宋_GB2312" w:eastAsia="仿宋_GB2312" w:hint="eastAsia"/>
          <w:sz w:val="28"/>
          <w:szCs w:val="28"/>
        </w:rPr>
        <w:t>“学校的师生关系融洽满意度”</w:t>
      </w:r>
      <w:r>
        <w:rPr>
          <w:rFonts w:ascii="仿宋_GB2312" w:eastAsia="仿宋_GB2312" w:hint="eastAsia"/>
          <w:sz w:val="28"/>
          <w:szCs w:val="28"/>
          <w:lang w:val="en-US"/>
        </w:rPr>
        <w:t>也较</w:t>
      </w:r>
      <w:r>
        <w:rPr>
          <w:rFonts w:ascii="仿宋_GB2312" w:eastAsia="仿宋_GB2312" w:hint="eastAsia"/>
          <w:sz w:val="28"/>
          <w:szCs w:val="28"/>
        </w:rPr>
        <w:t>高；</w:t>
      </w:r>
      <w:r>
        <w:rPr>
          <w:rFonts w:ascii="仿宋_GB2312" w:eastAsia="仿宋_GB2312" w:hint="eastAsia"/>
          <w:sz w:val="28"/>
          <w:szCs w:val="28"/>
          <w:lang w:val="en-US"/>
        </w:rPr>
        <w:t xml:space="preserve">  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在选择“</w:t>
      </w:r>
      <w:r>
        <w:rPr>
          <w:rFonts w:ascii="仿宋_GB2312" w:eastAsia="仿宋_GB2312" w:hint="eastAsia"/>
          <w:sz w:val="28"/>
          <w:szCs w:val="28"/>
          <w:lang w:val="en-US"/>
        </w:rPr>
        <w:t>满意</w:t>
      </w:r>
      <w:r>
        <w:rPr>
          <w:rFonts w:ascii="仿宋_GB2312" w:eastAsia="仿宋_GB2312" w:hint="eastAsia"/>
          <w:sz w:val="28"/>
          <w:szCs w:val="28"/>
        </w:rPr>
        <w:t>”的各分项中，“学校的师生关系融洽满意度”最高，“学校学生社团活动组织的满意度”，“学校组织高水平讲座、报告的满意度”</w:t>
      </w:r>
      <w:r>
        <w:rPr>
          <w:rFonts w:ascii="仿宋_GB2312" w:eastAsia="仿宋_GB2312" w:hint="eastAsia"/>
          <w:sz w:val="28"/>
          <w:szCs w:val="28"/>
          <w:lang w:val="en-US"/>
        </w:rPr>
        <w:t>也较高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</w:rPr>
        <w:t>在选择“</w:t>
      </w:r>
      <w:r>
        <w:rPr>
          <w:rFonts w:ascii="仿宋_GB2312" w:eastAsia="仿宋_GB2312" w:hint="eastAsia"/>
          <w:sz w:val="28"/>
          <w:szCs w:val="28"/>
          <w:lang w:val="en-US"/>
        </w:rPr>
        <w:t>比较满意</w:t>
      </w:r>
      <w:r>
        <w:rPr>
          <w:rFonts w:ascii="仿宋_GB2312" w:eastAsia="仿宋_GB2312" w:hint="eastAsia"/>
          <w:sz w:val="28"/>
          <w:szCs w:val="28"/>
        </w:rPr>
        <w:t>”的各分项中，“对本学院学生服务管理部门的满意度”</w:t>
      </w:r>
      <w:r>
        <w:rPr>
          <w:rFonts w:ascii="仿宋_GB2312" w:eastAsia="仿宋_GB2312" w:hint="eastAsia"/>
          <w:sz w:val="28"/>
          <w:szCs w:val="28"/>
          <w:lang w:val="en-US"/>
        </w:rPr>
        <w:t>最高；“对本学院教学服务管理部门的满意度”也较高；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  <w:lang w:val="en-US"/>
        </w:rPr>
        <w:t>在选择“不满意”和“非常不满意”的</w:t>
      </w:r>
      <w:r w:rsidR="00E74896">
        <w:rPr>
          <w:rFonts w:ascii="仿宋_GB2312" w:eastAsia="仿宋_GB2312" w:hint="eastAsia"/>
          <w:sz w:val="28"/>
          <w:szCs w:val="28"/>
          <w:lang w:val="en-US"/>
        </w:rPr>
        <w:t>各选项中，“对学校运动场馆和体育设施等满足学生需要的满意度”最高</w:t>
      </w:r>
      <w:r>
        <w:rPr>
          <w:rFonts w:ascii="仿宋_GB2312" w:eastAsia="仿宋_GB2312" w:hint="eastAsia"/>
          <w:sz w:val="28"/>
          <w:szCs w:val="28"/>
          <w:lang w:val="en-US"/>
        </w:rPr>
        <w:t>，“对学校教学服</w:t>
      </w:r>
      <w:r w:rsidR="00C70AED">
        <w:rPr>
          <w:rFonts w:ascii="仿宋_GB2312" w:eastAsia="仿宋_GB2312" w:hint="eastAsia"/>
          <w:sz w:val="28"/>
          <w:szCs w:val="28"/>
          <w:lang w:val="en-US"/>
        </w:rPr>
        <w:t>务管理部门的满意度”</w:t>
      </w:r>
      <w:r w:rsidR="00E74896">
        <w:rPr>
          <w:rFonts w:ascii="仿宋_GB2312" w:eastAsia="仿宋_GB2312" w:hint="eastAsia"/>
          <w:sz w:val="28"/>
          <w:szCs w:val="28"/>
          <w:lang w:val="en-US"/>
        </w:rPr>
        <w:t>也较高</w:t>
      </w:r>
      <w:r>
        <w:rPr>
          <w:rFonts w:ascii="仿宋_GB2312" w:eastAsia="仿宋_GB2312" w:hint="eastAsia"/>
          <w:sz w:val="28"/>
          <w:szCs w:val="28"/>
          <w:lang w:val="en-US"/>
        </w:rPr>
        <w:t>。</w:t>
      </w:r>
    </w:p>
    <w:p w:rsidR="004E5791" w:rsidRDefault="005E3376">
      <w:pPr>
        <w:ind w:firstLineChars="200" w:firstLine="562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b/>
          <w:sz w:val="28"/>
          <w:szCs w:val="28"/>
        </w:rPr>
        <w:t>（三）</w:t>
      </w:r>
      <w:r>
        <w:rPr>
          <w:rFonts w:ascii="仿宋_GB2312" w:eastAsia="仿宋_GB2312" w:hint="eastAsia"/>
          <w:b/>
          <w:sz w:val="28"/>
          <w:szCs w:val="28"/>
          <w:lang w:val="en-US"/>
        </w:rPr>
        <w:t>对学生满意度问卷调查结果初步</w:t>
      </w:r>
      <w:r>
        <w:rPr>
          <w:rFonts w:ascii="仿宋_GB2312" w:eastAsia="仿宋_GB2312" w:hint="eastAsia"/>
          <w:b/>
          <w:sz w:val="28"/>
          <w:szCs w:val="28"/>
        </w:rPr>
        <w:t>分析</w:t>
      </w:r>
    </w:p>
    <w:p w:rsidR="004E5791" w:rsidRDefault="005E3376">
      <w:pPr>
        <w:ind w:firstLineChars="200" w:firstLine="560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  <w:lang w:val="en-US"/>
        </w:rPr>
        <w:t>通过本学期学生信息员座谈，学生反映的一些情况和意见来看，各学院学生代表都反映了教师教学和教学管理相关问题，如教室、实验实训室的借用困难，排课不合理，设备故障，教师卫生，少数教师教学不认真等，已反馈相关二级学院或相关部门，作进一步核实或处理。教学管理和服务还需不断改进。</w:t>
      </w:r>
    </w:p>
    <w:p w:rsidR="004E5791" w:rsidRDefault="005E3376">
      <w:pPr>
        <w:pStyle w:val="a3"/>
        <w:numPr>
          <w:ilvl w:val="0"/>
          <w:numId w:val="1"/>
        </w:numPr>
        <w:spacing w:before="3"/>
        <w:ind w:left="600"/>
        <w:rPr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  <w:lang w:val="en-US"/>
        </w:rPr>
        <w:t>学生对思想政治课满意度调查</w:t>
      </w:r>
    </w:p>
    <w:p w:rsidR="004E5791" w:rsidRDefault="005E3376" w:rsidP="006D0209">
      <w:pPr>
        <w:autoSpaceDE/>
        <w:autoSpaceDN/>
        <w:spacing w:beforeLines="100" w:before="312" w:line="560" w:lineRule="exact"/>
        <w:ind w:firstLine="585"/>
        <w:rPr>
          <w:rFonts w:ascii="仿宋_GB2312" w:eastAsia="仿宋_GB2312"/>
          <w:sz w:val="28"/>
          <w:szCs w:val="28"/>
          <w:lang w:val="en-US"/>
        </w:rPr>
      </w:pPr>
      <w:r>
        <w:rPr>
          <w:rFonts w:ascii="仿宋_GB2312" w:eastAsia="仿宋_GB2312" w:hint="eastAsia"/>
          <w:sz w:val="28"/>
          <w:szCs w:val="28"/>
          <w:lang w:val="en-US"/>
        </w:rPr>
        <w:lastRenderedPageBreak/>
        <w:t>根据《吉利学院2023-2024学年第二学期思想政治理论课满意度调查报告》，马克思主义学院组织学校2022级、2023级全体同学开展了对思想政治课满意度调查。调查维度：1.本学期任课教师能否严格管理课堂且有效组织教学；2.本期任课教师专业知识能力；3.本期任课教师能否理论联系实际，分析热点关注；4.教师是否存在照本宣科的情况；5.任课教师是否存在播放无关视频、组织大量自学浪费教学时间的情况；对本学期课程的总体评价（78.37%的同学认为本学期</w:t>
      </w:r>
      <w:proofErr w:type="gramStart"/>
      <w:r>
        <w:rPr>
          <w:rFonts w:ascii="仿宋_GB2312" w:eastAsia="仿宋_GB2312" w:hint="eastAsia"/>
          <w:sz w:val="28"/>
          <w:szCs w:val="28"/>
          <w:lang w:val="en-US"/>
        </w:rPr>
        <w:t>思政课</w:t>
      </w:r>
      <w:proofErr w:type="gramEnd"/>
      <w:r>
        <w:rPr>
          <w:rFonts w:ascii="仿宋_GB2312" w:eastAsia="仿宋_GB2312" w:hint="eastAsia"/>
          <w:sz w:val="28"/>
          <w:szCs w:val="28"/>
          <w:lang w:val="en-US"/>
        </w:rPr>
        <w:t>整体优秀，16.48%的同学认为较好，总体合格99.52%）。</w:t>
      </w:r>
    </w:p>
    <w:p w:rsidR="006D0209" w:rsidRPr="006D0209" w:rsidRDefault="006D0209" w:rsidP="006D0209">
      <w:pPr>
        <w:pStyle w:val="a3"/>
        <w:numPr>
          <w:ilvl w:val="0"/>
          <w:numId w:val="1"/>
        </w:numPr>
        <w:spacing w:before="3"/>
        <w:ind w:left="600"/>
        <w:rPr>
          <w:b/>
          <w:sz w:val="32"/>
          <w:szCs w:val="32"/>
          <w:lang w:val="en-US"/>
        </w:rPr>
      </w:pPr>
      <w:r w:rsidRPr="006D0209">
        <w:rPr>
          <w:rFonts w:hint="eastAsia"/>
          <w:b/>
          <w:sz w:val="32"/>
          <w:szCs w:val="32"/>
          <w:lang w:val="en-US"/>
        </w:rPr>
        <w:t>学生对辅导员工作</w:t>
      </w:r>
      <w:r>
        <w:rPr>
          <w:rFonts w:hint="eastAsia"/>
          <w:b/>
          <w:sz w:val="32"/>
          <w:szCs w:val="32"/>
          <w:lang w:val="en-US"/>
        </w:rPr>
        <w:t>满意度测评</w:t>
      </w:r>
    </w:p>
    <w:p w:rsidR="006D0209" w:rsidRPr="005B6CD6" w:rsidRDefault="00D638AC" w:rsidP="005B6CD6">
      <w:pPr>
        <w:autoSpaceDE/>
        <w:autoSpaceDN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 w:rsidRPr="005B6CD6">
        <w:rPr>
          <w:rFonts w:ascii="仿宋_GB2312" w:eastAsia="仿宋_GB2312" w:hint="eastAsia"/>
          <w:sz w:val="32"/>
          <w:szCs w:val="32"/>
          <w:lang w:val="en-US"/>
        </w:rPr>
        <w:t>2024年6月学生工作部</w:t>
      </w:r>
      <w:r w:rsidRPr="005B6CD6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"/>
        </w:rPr>
        <w:t>对辅导员工作开展了学生网络测评。</w:t>
      </w:r>
      <w:r w:rsidRPr="005B6CD6">
        <w:rPr>
          <w:rFonts w:ascii="仿宋_GB2312" w:eastAsia="仿宋_GB2312" w:hint="eastAsia"/>
          <w:sz w:val="32"/>
          <w:szCs w:val="32"/>
          <w:lang w:val="en-US"/>
        </w:rPr>
        <w:t>根据学生工作部《关于学生对辅导员工作网络测评分析报告》，</w:t>
      </w:r>
      <w:r w:rsidRPr="005B6CD6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"/>
        </w:rPr>
        <w:t>本次测评调查问卷围绕辅导员九大工作职责进行设置，共设计题目24个，包含22个单选题和2个填空题，调查内容涉及辅导员师德师风、辅导员对奖助工作的开展情况、辅导员对学风及学业指导工作的开展情况、辅导员的工作态度及工作能力、辅导员班级建设、对辅导员作用的评价、辅导员满意度等方面。</w:t>
      </w:r>
      <w:r w:rsidR="00856161" w:rsidRPr="005B6CD6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"/>
        </w:rPr>
        <w:t>其中，对辅导员满意度评价情况的调查结果显示：“满意”（95—100分）占75.02%；“比较满意”(85—95分)占18.1%；“一般满意”(80—85分)占5.27%；“不太满意”(70—80分)占0.81%；“不满意”(60—70分)占0.33%；“非常不满意”(60分以下)占0.47%。</w:t>
      </w:r>
      <w:r w:rsidR="005B6CD6" w:rsidRPr="005B6CD6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bidi="ar"/>
        </w:rPr>
        <w:t>相较2023年度数据分析显示，我校辅导员的好评率（评分选项80分以上）较2023年的94.99%上升至98.39%，同比上升3.4%。</w:t>
      </w:r>
    </w:p>
    <w:sectPr w:rsidR="006D0209" w:rsidRPr="005B6CD6" w:rsidSect="00B34F02">
      <w:footerReference w:type="default" r:id="rId13"/>
      <w:pgSz w:w="11906" w:h="16838"/>
      <w:pgMar w:top="1440" w:right="1800" w:bottom="1440" w:left="1800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FF" w:rsidRDefault="006201FF">
      <w:r>
        <w:separator/>
      </w:r>
    </w:p>
  </w:endnote>
  <w:endnote w:type="continuationSeparator" w:id="0">
    <w:p w:rsidR="006201FF" w:rsidRDefault="0062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756390"/>
    </w:sdtPr>
    <w:sdtEndPr/>
    <w:sdtContent>
      <w:p w:rsidR="004E5791" w:rsidRDefault="005E337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9C">
          <w:rPr>
            <w:noProof/>
          </w:rPr>
          <w:t>- 5 -</w:t>
        </w:r>
        <w:r>
          <w:fldChar w:fldCharType="end"/>
        </w:r>
      </w:p>
    </w:sdtContent>
  </w:sdt>
  <w:p w:rsidR="004E5791" w:rsidRDefault="004E57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FF" w:rsidRDefault="006201FF">
      <w:r>
        <w:separator/>
      </w:r>
    </w:p>
  </w:footnote>
  <w:footnote w:type="continuationSeparator" w:id="0">
    <w:p w:rsidR="006201FF" w:rsidRDefault="0062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68B9F6"/>
    <w:multiLevelType w:val="singleLevel"/>
    <w:tmpl w:val="B468B9F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TA2ZDg1MTFmNTlkYzUzNzYwZDMxYzVjYWIxZDcifQ=="/>
  </w:docVars>
  <w:rsids>
    <w:rsidRoot w:val="4BDC703A"/>
    <w:rsid w:val="00004B28"/>
    <w:rsid w:val="0002342D"/>
    <w:rsid w:val="00033437"/>
    <w:rsid w:val="00034E79"/>
    <w:rsid w:val="00057852"/>
    <w:rsid w:val="000727A7"/>
    <w:rsid w:val="0008705E"/>
    <w:rsid w:val="0009700B"/>
    <w:rsid w:val="000A7193"/>
    <w:rsid w:val="000D1F2E"/>
    <w:rsid w:val="000E6583"/>
    <w:rsid w:val="001013AB"/>
    <w:rsid w:val="001178E9"/>
    <w:rsid w:val="001238F0"/>
    <w:rsid w:val="00143EB0"/>
    <w:rsid w:val="00146693"/>
    <w:rsid w:val="00146B15"/>
    <w:rsid w:val="00153315"/>
    <w:rsid w:val="0015570A"/>
    <w:rsid w:val="00171B60"/>
    <w:rsid w:val="001A49E0"/>
    <w:rsid w:val="001E682A"/>
    <w:rsid w:val="00220A82"/>
    <w:rsid w:val="00233997"/>
    <w:rsid w:val="00236E52"/>
    <w:rsid w:val="00245807"/>
    <w:rsid w:val="002A3B29"/>
    <w:rsid w:val="002A42A3"/>
    <w:rsid w:val="002B0C38"/>
    <w:rsid w:val="002C7058"/>
    <w:rsid w:val="00332403"/>
    <w:rsid w:val="0035356F"/>
    <w:rsid w:val="0038309A"/>
    <w:rsid w:val="00442D12"/>
    <w:rsid w:val="00477C9C"/>
    <w:rsid w:val="00483056"/>
    <w:rsid w:val="004A219A"/>
    <w:rsid w:val="004E22EB"/>
    <w:rsid w:val="004E5791"/>
    <w:rsid w:val="0054183F"/>
    <w:rsid w:val="00567D74"/>
    <w:rsid w:val="0059323F"/>
    <w:rsid w:val="00597B68"/>
    <w:rsid w:val="00597C05"/>
    <w:rsid w:val="005B6CD6"/>
    <w:rsid w:val="005E3376"/>
    <w:rsid w:val="0060517C"/>
    <w:rsid w:val="006201FF"/>
    <w:rsid w:val="0065630C"/>
    <w:rsid w:val="0069593F"/>
    <w:rsid w:val="006D0209"/>
    <w:rsid w:val="0072116D"/>
    <w:rsid w:val="00730637"/>
    <w:rsid w:val="00766EC9"/>
    <w:rsid w:val="00774850"/>
    <w:rsid w:val="00786FBF"/>
    <w:rsid w:val="00787138"/>
    <w:rsid w:val="007A62C5"/>
    <w:rsid w:val="007D6825"/>
    <w:rsid w:val="007F0C6C"/>
    <w:rsid w:val="007F0D27"/>
    <w:rsid w:val="00820005"/>
    <w:rsid w:val="008271CB"/>
    <w:rsid w:val="00837C49"/>
    <w:rsid w:val="00856161"/>
    <w:rsid w:val="0087578C"/>
    <w:rsid w:val="00896622"/>
    <w:rsid w:val="008A4971"/>
    <w:rsid w:val="008B4EC4"/>
    <w:rsid w:val="008C345A"/>
    <w:rsid w:val="008E1765"/>
    <w:rsid w:val="008E6C27"/>
    <w:rsid w:val="008F2DC1"/>
    <w:rsid w:val="009078C0"/>
    <w:rsid w:val="00914152"/>
    <w:rsid w:val="009543F4"/>
    <w:rsid w:val="00995D4E"/>
    <w:rsid w:val="009A4CD5"/>
    <w:rsid w:val="009B40C5"/>
    <w:rsid w:val="009D46A9"/>
    <w:rsid w:val="009D6E08"/>
    <w:rsid w:val="009F4187"/>
    <w:rsid w:val="00A10C2D"/>
    <w:rsid w:val="00A1519E"/>
    <w:rsid w:val="00A278C3"/>
    <w:rsid w:val="00A635C0"/>
    <w:rsid w:val="00A63F8B"/>
    <w:rsid w:val="00A827FA"/>
    <w:rsid w:val="00A933CC"/>
    <w:rsid w:val="00AD62C6"/>
    <w:rsid w:val="00AE1823"/>
    <w:rsid w:val="00B34F02"/>
    <w:rsid w:val="00B72B9C"/>
    <w:rsid w:val="00B72E7F"/>
    <w:rsid w:val="00BF0A0B"/>
    <w:rsid w:val="00BF3672"/>
    <w:rsid w:val="00C16700"/>
    <w:rsid w:val="00C5262D"/>
    <w:rsid w:val="00C70AED"/>
    <w:rsid w:val="00C96E6A"/>
    <w:rsid w:val="00CA6158"/>
    <w:rsid w:val="00CB0D60"/>
    <w:rsid w:val="00CB1201"/>
    <w:rsid w:val="00CD721F"/>
    <w:rsid w:val="00CE3D76"/>
    <w:rsid w:val="00D05D07"/>
    <w:rsid w:val="00D10E48"/>
    <w:rsid w:val="00D638AC"/>
    <w:rsid w:val="00D70377"/>
    <w:rsid w:val="00D73999"/>
    <w:rsid w:val="00D87892"/>
    <w:rsid w:val="00DD3B4A"/>
    <w:rsid w:val="00E00C4B"/>
    <w:rsid w:val="00E24371"/>
    <w:rsid w:val="00E47871"/>
    <w:rsid w:val="00E74896"/>
    <w:rsid w:val="00EB6DD7"/>
    <w:rsid w:val="00EF6A10"/>
    <w:rsid w:val="00F24FF0"/>
    <w:rsid w:val="00F501F8"/>
    <w:rsid w:val="00FB69D4"/>
    <w:rsid w:val="00FD7392"/>
    <w:rsid w:val="01960CB9"/>
    <w:rsid w:val="01B45801"/>
    <w:rsid w:val="02B842C2"/>
    <w:rsid w:val="03F76119"/>
    <w:rsid w:val="056E2A83"/>
    <w:rsid w:val="06A13DFD"/>
    <w:rsid w:val="06C65791"/>
    <w:rsid w:val="07D04320"/>
    <w:rsid w:val="08934B61"/>
    <w:rsid w:val="08DA03F7"/>
    <w:rsid w:val="0B517FFB"/>
    <w:rsid w:val="0C842065"/>
    <w:rsid w:val="0ECD04B4"/>
    <w:rsid w:val="126539C2"/>
    <w:rsid w:val="12F54FAD"/>
    <w:rsid w:val="14334B22"/>
    <w:rsid w:val="169A62EC"/>
    <w:rsid w:val="17603A02"/>
    <w:rsid w:val="17E446CF"/>
    <w:rsid w:val="184D21F7"/>
    <w:rsid w:val="189A6992"/>
    <w:rsid w:val="190A212A"/>
    <w:rsid w:val="194C326C"/>
    <w:rsid w:val="1C56042C"/>
    <w:rsid w:val="1CEC1B97"/>
    <w:rsid w:val="1D572956"/>
    <w:rsid w:val="21CD6D2A"/>
    <w:rsid w:val="2262301F"/>
    <w:rsid w:val="22BA4FCF"/>
    <w:rsid w:val="298F3C45"/>
    <w:rsid w:val="2D600444"/>
    <w:rsid w:val="2FE47DF9"/>
    <w:rsid w:val="309F5FAD"/>
    <w:rsid w:val="319C67BA"/>
    <w:rsid w:val="358362DE"/>
    <w:rsid w:val="375A366E"/>
    <w:rsid w:val="392145EF"/>
    <w:rsid w:val="3D103642"/>
    <w:rsid w:val="3E342FC8"/>
    <w:rsid w:val="3E3913D7"/>
    <w:rsid w:val="3E5A6583"/>
    <w:rsid w:val="3E6432A1"/>
    <w:rsid w:val="3F8F587F"/>
    <w:rsid w:val="40973487"/>
    <w:rsid w:val="40E65973"/>
    <w:rsid w:val="41603F46"/>
    <w:rsid w:val="44133F2C"/>
    <w:rsid w:val="45C83530"/>
    <w:rsid w:val="479A36C2"/>
    <w:rsid w:val="4B575AE6"/>
    <w:rsid w:val="4B6651F5"/>
    <w:rsid w:val="4BDC703A"/>
    <w:rsid w:val="4D1522D9"/>
    <w:rsid w:val="4E78429A"/>
    <w:rsid w:val="4F137196"/>
    <w:rsid w:val="500A7023"/>
    <w:rsid w:val="50195818"/>
    <w:rsid w:val="52AD2165"/>
    <w:rsid w:val="53A35D07"/>
    <w:rsid w:val="53ED1DA8"/>
    <w:rsid w:val="544F19DD"/>
    <w:rsid w:val="5663166A"/>
    <w:rsid w:val="5AE64A95"/>
    <w:rsid w:val="5D247BC3"/>
    <w:rsid w:val="5D743EE0"/>
    <w:rsid w:val="5E152F3E"/>
    <w:rsid w:val="5E632F26"/>
    <w:rsid w:val="5EB30DD4"/>
    <w:rsid w:val="5F0913D1"/>
    <w:rsid w:val="5FB34419"/>
    <w:rsid w:val="60ED3004"/>
    <w:rsid w:val="62BC0DE6"/>
    <w:rsid w:val="62DB4954"/>
    <w:rsid w:val="62FD2AE3"/>
    <w:rsid w:val="6395183F"/>
    <w:rsid w:val="66CA2093"/>
    <w:rsid w:val="68D770CC"/>
    <w:rsid w:val="6A163E0A"/>
    <w:rsid w:val="6A6C3BA7"/>
    <w:rsid w:val="6AC667E8"/>
    <w:rsid w:val="6B8579B3"/>
    <w:rsid w:val="6E5E57D4"/>
    <w:rsid w:val="6FD224F3"/>
    <w:rsid w:val="6FF0762E"/>
    <w:rsid w:val="7186620C"/>
    <w:rsid w:val="71D022E5"/>
    <w:rsid w:val="73BC3807"/>
    <w:rsid w:val="749667BC"/>
    <w:rsid w:val="770602B3"/>
    <w:rsid w:val="7BA30286"/>
    <w:rsid w:val="7BFE778D"/>
    <w:rsid w:val="7C89452B"/>
    <w:rsid w:val="7D46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1">
    <w:name w:val="页眉 Char"/>
    <w:basedOn w:val="a0"/>
    <w:link w:val="a6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uiPriority w:val="99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1">
    <w:name w:val="页眉 Char"/>
    <w:basedOn w:val="a0"/>
    <w:link w:val="a6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uiPriority w:val="9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K:\2023-2024&#23398;&#24180;&#31532;&#19968;&#23398;&#26399;&#26723;&#26696;\&#36136;&#23383;&#12308;2023&#12309;16%20&#21495;%20&#20851;&#20110;&#24320;&#23637;2023-2024&#23398;&#24180;&#31532;&#19968;&#23398;&#26399;&#24072;&#29983;&#28385;&#24847;&#24230;&#35843;&#26597;&#30340;&#36890;&#30693;\&#22270;&#34920;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C\Desktop\&#22270;&#34920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2023-2024&#23398;&#24180;&#31532;&#20108;&#23398;&#26399;\&#24072;&#29983;&#28385;&#24847;&#24230;\&#22270;&#34920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2023-2024&#23398;&#24180;&#31532;&#20108;&#23398;&#26399;\&#24072;&#29983;&#28385;&#24847;&#24230;\&#22270;&#34920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effectLst/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zh-CN"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各二级学院教师满意度问卷参与情况</a:t>
            </a:r>
          </a:p>
        </c:rich>
      </c:tx>
      <c:layout>
        <c:manualLayout>
          <c:xMode val="edge"/>
          <c:yMode val="edge"/>
          <c:x val="0.239144432208308"/>
          <c:y val="4.865872181151450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0031253279125298E-2"/>
          <c:y val="0.180255753587582"/>
          <c:w val="0.87373469484331201"/>
          <c:h val="0.68616135221245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"学院"</c:f>
              <c:strCache>
                <c:ptCount val="1"/>
                <c:pt idx="0">
                  <c:v>学院</c:v>
                </c:pt>
              </c:strCache>
            </c:strRef>
          </c:tx>
          <c:spPr>
            <a:solidFill>
              <a:srgbClr val="9884F4">
                <a:alpha val="7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黑体" panose="02010609060101010101" charset="-122"/>
                    <a:ea typeface="黑体" panose="02010609060101010101" charset="-122"/>
                    <a:cs typeface="黑体" panose="02010609060101010101" charset="-122"/>
                    <a:sym typeface="黑体" panose="02010609060101010101" charset="-122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[图表1.xlsx]Sheet1!$B$3:$B$15</c:f>
              <c:strCache>
                <c:ptCount val="13"/>
                <c:pt idx="0">
                  <c:v>智能网联与洗能源汽车学院</c:v>
                </c:pt>
                <c:pt idx="1">
                  <c:v>智能科技学院</c:v>
                </c:pt>
                <c:pt idx="2">
                  <c:v>电子信息工程学院</c:v>
                </c:pt>
                <c:pt idx="3">
                  <c:v>商学院</c:v>
                </c:pt>
                <c:pt idx="4">
                  <c:v>盛宝金融科技学院</c:v>
                </c:pt>
                <c:pt idx="5">
                  <c:v>外国语言与文化学院</c:v>
                </c:pt>
                <c:pt idx="6">
                  <c:v>艺术设计学院</c:v>
                </c:pt>
                <c:pt idx="7">
                  <c:v>数字媒体与表演学院</c:v>
                </c:pt>
                <c:pt idx="8">
                  <c:v>教育学院</c:v>
                </c:pt>
                <c:pt idx="9">
                  <c:v>体育与健康学院</c:v>
                </c:pt>
                <c:pt idx="10">
                  <c:v>智能制造学院</c:v>
                </c:pt>
                <c:pt idx="11">
                  <c:v>马克思主义学院（博雅学院）</c:v>
                </c:pt>
              </c:strCache>
            </c:strRef>
          </c:cat>
          <c:val>
            <c:numRef>
              <c:f>[图表1.xlsx]Sheet1!$C$3:$C$15</c:f>
              <c:numCache>
                <c:formatCode>General</c:formatCode>
                <c:ptCount val="13"/>
                <c:pt idx="0">
                  <c:v>28</c:v>
                </c:pt>
                <c:pt idx="1">
                  <c:v>160</c:v>
                </c:pt>
                <c:pt idx="2">
                  <c:v>15</c:v>
                </c:pt>
                <c:pt idx="3">
                  <c:v>37</c:v>
                </c:pt>
                <c:pt idx="4">
                  <c:v>12</c:v>
                </c:pt>
                <c:pt idx="5">
                  <c:v>5</c:v>
                </c:pt>
                <c:pt idx="6">
                  <c:v>17</c:v>
                </c:pt>
                <c:pt idx="7">
                  <c:v>19</c:v>
                </c:pt>
                <c:pt idx="8">
                  <c:v>30</c:v>
                </c:pt>
                <c:pt idx="9">
                  <c:v>40</c:v>
                </c:pt>
                <c:pt idx="10">
                  <c:v>15</c:v>
                </c:pt>
                <c:pt idx="11">
                  <c:v>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0"/>
        <c:overlap val="20"/>
        <c:axId val="154667264"/>
        <c:axId val="154670208"/>
      </c:barChart>
      <c:catAx>
        <c:axId val="15466726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prstDash val="solid"/>
              <a:round/>
            </a:ln>
            <a:effectLst/>
          </c:spPr>
        </c:minorGridlines>
        <c:numFmt formatCode="General" sourceLinked="1"/>
        <c:majorTickMark val="in"/>
        <c:minorTickMark val="none"/>
        <c:tickLblPos val="nextTo"/>
        <c:spPr>
          <a:noFill/>
          <a:ln w="317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ln>
                  <a:solidFill>
                    <a:schemeClr val="accent1"/>
                  </a:solidFill>
                  <a:prstDash val="dash"/>
                </a:ln>
                <a:solidFill>
                  <a:sysClr val="windowText" lastClr="000000"/>
                </a:solidFill>
                <a:effectLst/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  <c:crossAx val="154670208"/>
        <c:crosses val="autoZero"/>
        <c:auto val="1"/>
        <c:lblAlgn val="ctr"/>
        <c:lblOffset val="100"/>
        <c:noMultiLvlLbl val="0"/>
      </c:catAx>
      <c:valAx>
        <c:axId val="15467020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  <c:crossAx val="1546672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12700" cap="flat" cmpd="sng" algn="ctr">
            <a:solidFill>
              <a:srgbClr val="4874CB"/>
            </a:solidFill>
            <a:prstDash val="solid"/>
            <a:miter lim="800000"/>
          </a:ln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ln>
                  <a:solidFill>
                    <a:schemeClr val="tx1"/>
                  </a:solidFill>
                </a:ln>
                <a:solidFill>
                  <a:schemeClr val="tx1"/>
                </a:solidFill>
                <a:latin typeface="+mn-lt"/>
                <a:ea typeface="+mn-ea"/>
                <a:cs typeface="+mn-cs"/>
                <a:sym typeface="黑体" panose="02010609060101010101" charset="-122"/>
              </a:defRPr>
            </a:pPr>
            <a:endParaRPr lang="zh-CN"/>
          </a:p>
        </c:txPr>
      </c:dTable>
      <c:spPr>
        <a:solidFill>
          <a:srgbClr val="4874CB">
            <a:lumMod val="20000"/>
            <a:lumOff val="80000"/>
          </a:srgbClr>
        </a:solidFill>
        <a:ln w="3175"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effectLst/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</c:legendEntry>
      <c:layout>
        <c:manualLayout>
          <c:xMode val="edge"/>
          <c:yMode val="edge"/>
          <c:x val="0.81683915480810698"/>
          <c:y val="1.6713747645950999E-2"/>
          <c:w val="0.14596808969383401"/>
          <c:h val="7.8389830508474603E-2"/>
        </c:manualLayout>
      </c:layout>
      <c:overlay val="0"/>
      <c:spPr>
        <a:solidFill>
          <a:srgbClr val="4874CB">
            <a:lumMod val="40000"/>
            <a:lumOff val="60000"/>
          </a:srgbClr>
        </a:solidFill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effectLst/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2BA02">
        <a:lumMod val="20000"/>
        <a:lumOff val="80000"/>
      </a:srgbClr>
    </a:solidFill>
    <a:ln w="317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黑体" panose="02010609060101010101" charset="-122"/>
          <a:ea typeface="黑体" panose="02010609060101010101" charset="-122"/>
          <a:cs typeface="黑体" panose="02010609060101010101" charset="-122"/>
          <a:sym typeface="黑体" panose="02010609060101010101" charset="-122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[图表1.xlsx]Sheet1!$C$37</c:f>
              <c:strCache>
                <c:ptCount val="1"/>
                <c:pt idx="0">
                  <c:v>非常满意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[图表1.xlsx]Sheet1!$B$38:$B$46</c:f>
              <c:strCache>
                <c:ptCount val="9"/>
                <c:pt idx="0">
                  <c:v>Q1（学校制度）</c:v>
                </c:pt>
                <c:pt idx="1">
                  <c:v>Q2（学校执行）</c:v>
                </c:pt>
                <c:pt idx="2">
                  <c:v>Q3（学院执行）</c:v>
                </c:pt>
                <c:pt idx="3">
                  <c:v>Q4（校服务态度）</c:v>
                </c:pt>
                <c:pt idx="4">
                  <c:v>Q5（院服务态度）</c:v>
                </c:pt>
                <c:pt idx="5">
                  <c:v>Q6（校运行效率）</c:v>
                </c:pt>
                <c:pt idx="6">
                  <c:v>Q7（院运行效率）</c:v>
                </c:pt>
                <c:pt idx="7">
                  <c:v>Q8（院总体）</c:v>
                </c:pt>
                <c:pt idx="8">
                  <c:v>Q9（校总体）</c:v>
                </c:pt>
              </c:strCache>
            </c:strRef>
          </c:cat>
          <c:val>
            <c:numRef>
              <c:f>[图表1.xlsx]Sheet1!$C$38:$C$46</c:f>
              <c:numCache>
                <c:formatCode>General</c:formatCode>
                <c:ptCount val="9"/>
                <c:pt idx="0">
                  <c:v>97</c:v>
                </c:pt>
                <c:pt idx="1">
                  <c:v>105</c:v>
                </c:pt>
                <c:pt idx="2">
                  <c:v>140</c:v>
                </c:pt>
                <c:pt idx="3">
                  <c:v>113</c:v>
                </c:pt>
                <c:pt idx="4">
                  <c:v>161</c:v>
                </c:pt>
                <c:pt idx="5">
                  <c:v>108</c:v>
                </c:pt>
                <c:pt idx="6">
                  <c:v>148</c:v>
                </c:pt>
                <c:pt idx="7">
                  <c:v>151</c:v>
                </c:pt>
                <c:pt idx="8">
                  <c:v>112</c:v>
                </c:pt>
              </c:numCache>
            </c:numRef>
          </c:val>
        </c:ser>
        <c:ser>
          <c:idx val="1"/>
          <c:order val="1"/>
          <c:tx>
            <c:strRef>
              <c:f>[图表1.xlsx]Sheet1!$D$37</c:f>
              <c:strCache>
                <c:ptCount val="1"/>
                <c:pt idx="0">
                  <c:v>满意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[图表1.xlsx]Sheet1!$B$38:$B$46</c:f>
              <c:strCache>
                <c:ptCount val="9"/>
                <c:pt idx="0">
                  <c:v>Q1（学校制度）</c:v>
                </c:pt>
                <c:pt idx="1">
                  <c:v>Q2（学校执行）</c:v>
                </c:pt>
                <c:pt idx="2">
                  <c:v>Q3（学院执行）</c:v>
                </c:pt>
                <c:pt idx="3">
                  <c:v>Q4（校服务态度）</c:v>
                </c:pt>
                <c:pt idx="4">
                  <c:v>Q5（院服务态度）</c:v>
                </c:pt>
                <c:pt idx="5">
                  <c:v>Q6（校运行效率）</c:v>
                </c:pt>
                <c:pt idx="6">
                  <c:v>Q7（院运行效率）</c:v>
                </c:pt>
                <c:pt idx="7">
                  <c:v>Q8（院总体）</c:v>
                </c:pt>
                <c:pt idx="8">
                  <c:v>Q9（校总体）</c:v>
                </c:pt>
              </c:strCache>
            </c:strRef>
          </c:cat>
          <c:val>
            <c:numRef>
              <c:f>[图表1.xlsx]Sheet1!$D$38:$D$46</c:f>
              <c:numCache>
                <c:formatCode>General</c:formatCode>
                <c:ptCount val="9"/>
                <c:pt idx="0">
                  <c:v>117</c:v>
                </c:pt>
                <c:pt idx="1">
                  <c:v>120</c:v>
                </c:pt>
                <c:pt idx="2">
                  <c:v>131</c:v>
                </c:pt>
                <c:pt idx="3">
                  <c:v>126</c:v>
                </c:pt>
                <c:pt idx="4">
                  <c:v>132</c:v>
                </c:pt>
                <c:pt idx="5">
                  <c:v>117</c:v>
                </c:pt>
                <c:pt idx="6">
                  <c:v>123</c:v>
                </c:pt>
                <c:pt idx="7">
                  <c:v>132</c:v>
                </c:pt>
                <c:pt idx="8">
                  <c:v>122</c:v>
                </c:pt>
              </c:numCache>
            </c:numRef>
          </c:val>
        </c:ser>
        <c:ser>
          <c:idx val="2"/>
          <c:order val="2"/>
          <c:tx>
            <c:strRef>
              <c:f>[图表1.xlsx]Sheet1!$E$37</c:f>
              <c:strCache>
                <c:ptCount val="1"/>
                <c:pt idx="0">
                  <c:v>比较满意</c:v>
                </c:pt>
              </c:strCache>
            </c:strRef>
          </c:tx>
          <c:invertIfNegative val="0"/>
          <c:cat>
            <c:strRef>
              <c:f>[图表1.xlsx]Sheet1!$B$38:$B$46</c:f>
              <c:strCache>
                <c:ptCount val="9"/>
                <c:pt idx="0">
                  <c:v>Q1（学校制度）</c:v>
                </c:pt>
                <c:pt idx="1">
                  <c:v>Q2（学校执行）</c:v>
                </c:pt>
                <c:pt idx="2">
                  <c:v>Q3（学院执行）</c:v>
                </c:pt>
                <c:pt idx="3">
                  <c:v>Q4（校服务态度）</c:v>
                </c:pt>
                <c:pt idx="4">
                  <c:v>Q5（院服务态度）</c:v>
                </c:pt>
                <c:pt idx="5">
                  <c:v>Q6（校运行效率）</c:v>
                </c:pt>
                <c:pt idx="6">
                  <c:v>Q7（院运行效率）</c:v>
                </c:pt>
                <c:pt idx="7">
                  <c:v>Q8（院总体）</c:v>
                </c:pt>
                <c:pt idx="8">
                  <c:v>Q9（校总体）</c:v>
                </c:pt>
              </c:strCache>
            </c:strRef>
          </c:cat>
          <c:val>
            <c:numRef>
              <c:f>[图表1.xlsx]Sheet1!$E$38:$E$46</c:f>
              <c:numCache>
                <c:formatCode>General</c:formatCode>
                <c:ptCount val="9"/>
                <c:pt idx="0">
                  <c:v>146</c:v>
                </c:pt>
                <c:pt idx="1">
                  <c:v>146</c:v>
                </c:pt>
                <c:pt idx="2">
                  <c:v>128</c:v>
                </c:pt>
                <c:pt idx="3">
                  <c:v>142</c:v>
                </c:pt>
                <c:pt idx="4">
                  <c:v>117</c:v>
                </c:pt>
                <c:pt idx="5">
                  <c:v>146</c:v>
                </c:pt>
                <c:pt idx="6">
                  <c:v>127</c:v>
                </c:pt>
                <c:pt idx="7">
                  <c:v>124</c:v>
                </c:pt>
                <c:pt idx="8">
                  <c:v>138</c:v>
                </c:pt>
              </c:numCache>
            </c:numRef>
          </c:val>
        </c:ser>
        <c:ser>
          <c:idx val="3"/>
          <c:order val="3"/>
          <c:tx>
            <c:strRef>
              <c:f>[图表1.xlsx]Sheet1!$F$37</c:f>
              <c:strCache>
                <c:ptCount val="1"/>
                <c:pt idx="0">
                  <c:v>不满意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[图表1.xlsx]Sheet1!$B$38:$B$46</c:f>
              <c:strCache>
                <c:ptCount val="9"/>
                <c:pt idx="0">
                  <c:v>Q1（学校制度）</c:v>
                </c:pt>
                <c:pt idx="1">
                  <c:v>Q2（学校执行）</c:v>
                </c:pt>
                <c:pt idx="2">
                  <c:v>Q3（学院执行）</c:v>
                </c:pt>
                <c:pt idx="3">
                  <c:v>Q4（校服务态度）</c:v>
                </c:pt>
                <c:pt idx="4">
                  <c:v>Q5（院服务态度）</c:v>
                </c:pt>
                <c:pt idx="5">
                  <c:v>Q6（校运行效率）</c:v>
                </c:pt>
                <c:pt idx="6">
                  <c:v>Q7（院运行效率）</c:v>
                </c:pt>
                <c:pt idx="7">
                  <c:v>Q8（院总体）</c:v>
                </c:pt>
                <c:pt idx="8">
                  <c:v>Q9（校总体）</c:v>
                </c:pt>
              </c:strCache>
            </c:strRef>
          </c:cat>
          <c:val>
            <c:numRef>
              <c:f>[图表1.xlsx]Sheet1!$F$38:$F$46</c:f>
              <c:numCache>
                <c:formatCode>General</c:formatCode>
                <c:ptCount val="9"/>
                <c:pt idx="0">
                  <c:v>57</c:v>
                </c:pt>
                <c:pt idx="1">
                  <c:v>49</c:v>
                </c:pt>
                <c:pt idx="2">
                  <c:v>26</c:v>
                </c:pt>
                <c:pt idx="3">
                  <c:v>40</c:v>
                </c:pt>
                <c:pt idx="4">
                  <c:v>16</c:v>
                </c:pt>
                <c:pt idx="5">
                  <c:v>49</c:v>
                </c:pt>
                <c:pt idx="6">
                  <c:v>29</c:v>
                </c:pt>
                <c:pt idx="7">
                  <c:v>19</c:v>
                </c:pt>
                <c:pt idx="8">
                  <c:v>47</c:v>
                </c:pt>
              </c:numCache>
            </c:numRef>
          </c:val>
        </c:ser>
        <c:ser>
          <c:idx val="4"/>
          <c:order val="4"/>
          <c:tx>
            <c:strRef>
              <c:f>[图表1.xlsx]Sheet1!$G$37</c:f>
              <c:strCache>
                <c:ptCount val="1"/>
                <c:pt idx="0">
                  <c:v>非常不满意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[图表1.xlsx]Sheet1!$B$38:$B$46</c:f>
              <c:strCache>
                <c:ptCount val="9"/>
                <c:pt idx="0">
                  <c:v>Q1（学校制度）</c:v>
                </c:pt>
                <c:pt idx="1">
                  <c:v>Q2（学校执行）</c:v>
                </c:pt>
                <c:pt idx="2">
                  <c:v>Q3（学院执行）</c:v>
                </c:pt>
                <c:pt idx="3">
                  <c:v>Q4（校服务态度）</c:v>
                </c:pt>
                <c:pt idx="4">
                  <c:v>Q5（院服务态度）</c:v>
                </c:pt>
                <c:pt idx="5">
                  <c:v>Q6（校运行效率）</c:v>
                </c:pt>
                <c:pt idx="6">
                  <c:v>Q7（院运行效率）</c:v>
                </c:pt>
                <c:pt idx="7">
                  <c:v>Q8（院总体）</c:v>
                </c:pt>
                <c:pt idx="8">
                  <c:v>Q9（校总体）</c:v>
                </c:pt>
              </c:strCache>
            </c:strRef>
          </c:cat>
          <c:val>
            <c:numRef>
              <c:f>[图表1.xlsx]Sheet1!$G$38:$G$46</c:f>
              <c:numCache>
                <c:formatCode>General</c:formatCode>
                <c:ptCount val="9"/>
                <c:pt idx="0">
                  <c:v>19</c:v>
                </c:pt>
                <c:pt idx="1">
                  <c:v>16</c:v>
                </c:pt>
                <c:pt idx="2">
                  <c:v>11</c:v>
                </c:pt>
                <c:pt idx="3">
                  <c:v>15</c:v>
                </c:pt>
                <c:pt idx="4">
                  <c:v>10</c:v>
                </c:pt>
                <c:pt idx="5">
                  <c:v>16</c:v>
                </c:pt>
                <c:pt idx="6">
                  <c:v>9</c:v>
                </c:pt>
                <c:pt idx="7">
                  <c:v>10</c:v>
                </c:pt>
                <c:pt idx="8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432960"/>
        <c:axId val="218499328"/>
      </c:barChart>
      <c:catAx>
        <c:axId val="2094329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8499328"/>
        <c:crosses val="autoZero"/>
        <c:auto val="1"/>
        <c:lblAlgn val="ctr"/>
        <c:lblOffset val="100"/>
        <c:noMultiLvlLbl val="0"/>
      </c:catAx>
      <c:valAx>
        <c:axId val="218499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9432960"/>
        <c:crosses val="autoZero"/>
        <c:crossBetween val="between"/>
      </c:valAx>
      <c:spPr>
        <a:solidFill>
          <a:schemeClr val="accent1">
            <a:lumMod val="40000"/>
            <a:lumOff val="60000"/>
          </a:schemeClr>
        </a:solidFill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Sheet1!$B$51:$B$61</c:f>
              <c:strCache>
                <c:ptCount val="11"/>
                <c:pt idx="0">
                  <c:v>智能网联与新能源汽车学院</c:v>
                </c:pt>
                <c:pt idx="1">
                  <c:v>智能科技学院</c:v>
                </c:pt>
                <c:pt idx="2">
                  <c:v>电子信息工程学院</c:v>
                </c:pt>
                <c:pt idx="3">
                  <c:v>商学院</c:v>
                </c:pt>
                <c:pt idx="4">
                  <c:v>盛宝金融科技学院</c:v>
                </c:pt>
                <c:pt idx="5">
                  <c:v>外国语言与文化学院</c:v>
                </c:pt>
                <c:pt idx="6">
                  <c:v>数字媒体与表演学院</c:v>
                </c:pt>
                <c:pt idx="7">
                  <c:v>艺术设计学院</c:v>
                </c:pt>
                <c:pt idx="8">
                  <c:v>教育学院</c:v>
                </c:pt>
                <c:pt idx="9">
                  <c:v>航空航天学院</c:v>
                </c:pt>
                <c:pt idx="10">
                  <c:v>体育与健康学院学院</c:v>
                </c:pt>
              </c:strCache>
            </c:strRef>
          </c:cat>
          <c:val>
            <c:numRef>
              <c:f>Sheet1!$C$51:$C$61</c:f>
              <c:numCache>
                <c:formatCode>General</c:formatCode>
                <c:ptCount val="11"/>
                <c:pt idx="0">
                  <c:v>423</c:v>
                </c:pt>
                <c:pt idx="1">
                  <c:v>1161</c:v>
                </c:pt>
                <c:pt idx="2">
                  <c:v>1275</c:v>
                </c:pt>
                <c:pt idx="3">
                  <c:v>2279</c:v>
                </c:pt>
                <c:pt idx="4">
                  <c:v>164</c:v>
                </c:pt>
                <c:pt idx="5">
                  <c:v>1043</c:v>
                </c:pt>
                <c:pt idx="6">
                  <c:v>1261</c:v>
                </c:pt>
                <c:pt idx="7">
                  <c:v>1685</c:v>
                </c:pt>
                <c:pt idx="8">
                  <c:v>1523</c:v>
                </c:pt>
                <c:pt idx="9">
                  <c:v>203</c:v>
                </c:pt>
                <c:pt idx="10">
                  <c:v>982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173056"/>
        <c:axId val="262205824"/>
      </c:barChart>
      <c:catAx>
        <c:axId val="2621730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2205824"/>
        <c:crosses val="autoZero"/>
        <c:auto val="1"/>
        <c:lblAlgn val="ctr"/>
        <c:lblOffset val="100"/>
        <c:noMultiLvlLbl val="0"/>
      </c:catAx>
      <c:valAx>
        <c:axId val="262205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2173056"/>
        <c:crosses val="autoZero"/>
        <c:crossBetween val="between"/>
      </c:valAx>
      <c:spPr>
        <a:pattFill prst="pct50">
          <a:fgClr>
            <a:schemeClr val="accent1"/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solidFill>
      <a:srgbClr val="92D050"/>
    </a:solidFill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Sheet1!$C$68</c:f>
              <c:strCache>
                <c:ptCount val="1"/>
                <c:pt idx="0">
                  <c:v>非常满意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Sheet1!$B$69:$B$80</c:f>
              <c:strCache>
                <c:ptCount val="12"/>
                <c:pt idx="0">
                  <c:v>Q1学校评奖评优</c:v>
                </c:pt>
                <c:pt idx="1">
                  <c:v>Q2学院评奖评优</c:v>
                </c:pt>
                <c:pt idx="2">
                  <c:v>Q3讲座报告</c:v>
                </c:pt>
                <c:pt idx="3">
                  <c:v>Q4选修课</c:v>
                </c:pt>
                <c:pt idx="4">
                  <c:v>Q5心理健康</c:v>
                </c:pt>
                <c:pt idx="5">
                  <c:v>Q6社团活动</c:v>
                </c:pt>
                <c:pt idx="6">
                  <c:v>Q7教室自习阅览室</c:v>
                </c:pt>
                <c:pt idx="7">
                  <c:v>Q8运动场馆</c:v>
                </c:pt>
                <c:pt idx="8">
                  <c:v>Q9学校教学服务</c:v>
                </c:pt>
                <c:pt idx="9">
                  <c:v>Q10学院教学服务</c:v>
                </c:pt>
                <c:pt idx="10">
                  <c:v>Q11学院学生服务</c:v>
                </c:pt>
                <c:pt idx="11">
                  <c:v>Q12师生关系</c:v>
                </c:pt>
              </c:strCache>
            </c:strRef>
          </c:cat>
          <c:val>
            <c:numRef>
              <c:f>Sheet1!$C$69:$C$80</c:f>
              <c:numCache>
                <c:formatCode>General</c:formatCode>
                <c:ptCount val="12"/>
                <c:pt idx="0">
                  <c:v>4768</c:v>
                </c:pt>
                <c:pt idx="1">
                  <c:v>4668</c:v>
                </c:pt>
                <c:pt idx="2">
                  <c:v>4575</c:v>
                </c:pt>
                <c:pt idx="3">
                  <c:v>4567</c:v>
                </c:pt>
                <c:pt idx="4">
                  <c:v>4634</c:v>
                </c:pt>
                <c:pt idx="5">
                  <c:v>4454</c:v>
                </c:pt>
                <c:pt idx="6">
                  <c:v>4594</c:v>
                </c:pt>
                <c:pt idx="7">
                  <c:v>4380</c:v>
                </c:pt>
                <c:pt idx="8">
                  <c:v>4328</c:v>
                </c:pt>
                <c:pt idx="9">
                  <c:v>4383</c:v>
                </c:pt>
                <c:pt idx="10">
                  <c:v>4373</c:v>
                </c:pt>
                <c:pt idx="11">
                  <c:v>4687</c:v>
                </c:pt>
              </c:numCache>
            </c:numRef>
          </c:val>
        </c:ser>
        <c:ser>
          <c:idx val="1"/>
          <c:order val="1"/>
          <c:tx>
            <c:strRef>
              <c:f>Sheet1!$D$68</c:f>
              <c:strCache>
                <c:ptCount val="1"/>
                <c:pt idx="0">
                  <c:v>满意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Sheet1!$B$69:$B$80</c:f>
              <c:strCache>
                <c:ptCount val="12"/>
                <c:pt idx="0">
                  <c:v>Q1学校评奖评优</c:v>
                </c:pt>
                <c:pt idx="1">
                  <c:v>Q2学院评奖评优</c:v>
                </c:pt>
                <c:pt idx="2">
                  <c:v>Q3讲座报告</c:v>
                </c:pt>
                <c:pt idx="3">
                  <c:v>Q4选修课</c:v>
                </c:pt>
                <c:pt idx="4">
                  <c:v>Q5心理健康</c:v>
                </c:pt>
                <c:pt idx="5">
                  <c:v>Q6社团活动</c:v>
                </c:pt>
                <c:pt idx="6">
                  <c:v>Q7教室自习阅览室</c:v>
                </c:pt>
                <c:pt idx="7">
                  <c:v>Q8运动场馆</c:v>
                </c:pt>
                <c:pt idx="8">
                  <c:v>Q9学校教学服务</c:v>
                </c:pt>
                <c:pt idx="9">
                  <c:v>Q10学院教学服务</c:v>
                </c:pt>
                <c:pt idx="10">
                  <c:v>Q11学院学生服务</c:v>
                </c:pt>
                <c:pt idx="11">
                  <c:v>Q12师生关系</c:v>
                </c:pt>
              </c:strCache>
            </c:strRef>
          </c:cat>
          <c:val>
            <c:numRef>
              <c:f>Sheet1!$D$69:$D$80</c:f>
              <c:numCache>
                <c:formatCode>General</c:formatCode>
                <c:ptCount val="12"/>
                <c:pt idx="0">
                  <c:v>4038</c:v>
                </c:pt>
                <c:pt idx="1">
                  <c:v>4065</c:v>
                </c:pt>
                <c:pt idx="2">
                  <c:v>4096</c:v>
                </c:pt>
                <c:pt idx="3">
                  <c:v>4082</c:v>
                </c:pt>
                <c:pt idx="4">
                  <c:v>4207</c:v>
                </c:pt>
                <c:pt idx="5">
                  <c:v>4089</c:v>
                </c:pt>
                <c:pt idx="6">
                  <c:v>4075</c:v>
                </c:pt>
                <c:pt idx="7">
                  <c:v>3824</c:v>
                </c:pt>
                <c:pt idx="8">
                  <c:v>3967</c:v>
                </c:pt>
                <c:pt idx="9">
                  <c:v>3988</c:v>
                </c:pt>
                <c:pt idx="10">
                  <c:v>3973</c:v>
                </c:pt>
                <c:pt idx="11">
                  <c:v>4304</c:v>
                </c:pt>
              </c:numCache>
            </c:numRef>
          </c:val>
        </c:ser>
        <c:ser>
          <c:idx val="2"/>
          <c:order val="2"/>
          <c:tx>
            <c:strRef>
              <c:f>Sheet1!$E$68</c:f>
              <c:strCache>
                <c:ptCount val="1"/>
                <c:pt idx="0">
                  <c:v>比较满意</c:v>
                </c:pt>
              </c:strCache>
            </c:strRef>
          </c:tx>
          <c:invertIfNegative val="0"/>
          <c:cat>
            <c:strRef>
              <c:f>Sheet1!$B$69:$B$80</c:f>
              <c:strCache>
                <c:ptCount val="12"/>
                <c:pt idx="0">
                  <c:v>Q1学校评奖评优</c:v>
                </c:pt>
                <c:pt idx="1">
                  <c:v>Q2学院评奖评优</c:v>
                </c:pt>
                <c:pt idx="2">
                  <c:v>Q3讲座报告</c:v>
                </c:pt>
                <c:pt idx="3">
                  <c:v>Q4选修课</c:v>
                </c:pt>
                <c:pt idx="4">
                  <c:v>Q5心理健康</c:v>
                </c:pt>
                <c:pt idx="5">
                  <c:v>Q6社团活动</c:v>
                </c:pt>
                <c:pt idx="6">
                  <c:v>Q7教室自习阅览室</c:v>
                </c:pt>
                <c:pt idx="7">
                  <c:v>Q8运动场馆</c:v>
                </c:pt>
                <c:pt idx="8">
                  <c:v>Q9学校教学服务</c:v>
                </c:pt>
                <c:pt idx="9">
                  <c:v>Q10学院教学服务</c:v>
                </c:pt>
                <c:pt idx="10">
                  <c:v>Q11学院学生服务</c:v>
                </c:pt>
                <c:pt idx="11">
                  <c:v>Q12师生关系</c:v>
                </c:pt>
              </c:strCache>
            </c:strRef>
          </c:cat>
          <c:val>
            <c:numRef>
              <c:f>Sheet1!$E$69:$E$80</c:f>
              <c:numCache>
                <c:formatCode>General</c:formatCode>
                <c:ptCount val="12"/>
                <c:pt idx="0">
                  <c:v>3431</c:v>
                </c:pt>
                <c:pt idx="1">
                  <c:v>3483</c:v>
                </c:pt>
                <c:pt idx="2">
                  <c:v>3543</c:v>
                </c:pt>
                <c:pt idx="3">
                  <c:v>3483</c:v>
                </c:pt>
                <c:pt idx="4">
                  <c:v>3503</c:v>
                </c:pt>
                <c:pt idx="5">
                  <c:v>3631</c:v>
                </c:pt>
                <c:pt idx="6">
                  <c:v>3437</c:v>
                </c:pt>
                <c:pt idx="7">
                  <c:v>3530</c:v>
                </c:pt>
                <c:pt idx="8">
                  <c:v>3696</c:v>
                </c:pt>
                <c:pt idx="9">
                  <c:v>3652</c:v>
                </c:pt>
                <c:pt idx="10">
                  <c:v>3697</c:v>
                </c:pt>
                <c:pt idx="11">
                  <c:v>3403</c:v>
                </c:pt>
              </c:numCache>
            </c:numRef>
          </c:val>
        </c:ser>
        <c:ser>
          <c:idx val="3"/>
          <c:order val="3"/>
          <c:tx>
            <c:strRef>
              <c:f>Sheet1!$G$68</c:f>
              <c:strCache>
                <c:ptCount val="1"/>
                <c:pt idx="0">
                  <c:v>不满意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Sheet1!$B$69:$B$80</c:f>
              <c:strCache>
                <c:ptCount val="12"/>
                <c:pt idx="0">
                  <c:v>Q1学校评奖评优</c:v>
                </c:pt>
                <c:pt idx="1">
                  <c:v>Q2学院评奖评优</c:v>
                </c:pt>
                <c:pt idx="2">
                  <c:v>Q3讲座报告</c:v>
                </c:pt>
                <c:pt idx="3">
                  <c:v>Q4选修课</c:v>
                </c:pt>
                <c:pt idx="4">
                  <c:v>Q5心理健康</c:v>
                </c:pt>
                <c:pt idx="5">
                  <c:v>Q6社团活动</c:v>
                </c:pt>
                <c:pt idx="6">
                  <c:v>Q7教室自习阅览室</c:v>
                </c:pt>
                <c:pt idx="7">
                  <c:v>Q8运动场馆</c:v>
                </c:pt>
                <c:pt idx="8">
                  <c:v>Q9学校教学服务</c:v>
                </c:pt>
                <c:pt idx="9">
                  <c:v>Q10学院教学服务</c:v>
                </c:pt>
                <c:pt idx="10">
                  <c:v>Q11学院学生服务</c:v>
                </c:pt>
                <c:pt idx="11">
                  <c:v>Q12师生关系</c:v>
                </c:pt>
              </c:strCache>
            </c:strRef>
          </c:cat>
          <c:val>
            <c:numRef>
              <c:f>Sheet1!$G$69:$G$80</c:f>
              <c:numCache>
                <c:formatCode>General</c:formatCode>
                <c:ptCount val="12"/>
                <c:pt idx="0">
                  <c:v>382</c:v>
                </c:pt>
                <c:pt idx="1">
                  <c:v>400</c:v>
                </c:pt>
                <c:pt idx="2">
                  <c:v>392</c:v>
                </c:pt>
                <c:pt idx="3">
                  <c:v>462</c:v>
                </c:pt>
                <c:pt idx="4">
                  <c:v>303</c:v>
                </c:pt>
                <c:pt idx="5">
                  <c:v>420</c:v>
                </c:pt>
                <c:pt idx="6">
                  <c:v>481</c:v>
                </c:pt>
                <c:pt idx="7">
                  <c:v>692</c:v>
                </c:pt>
                <c:pt idx="8">
                  <c:v>507</c:v>
                </c:pt>
                <c:pt idx="9">
                  <c:v>509</c:v>
                </c:pt>
                <c:pt idx="10">
                  <c:v>485</c:v>
                </c:pt>
                <c:pt idx="11">
                  <c:v>245</c:v>
                </c:pt>
              </c:numCache>
            </c:numRef>
          </c:val>
        </c:ser>
        <c:ser>
          <c:idx val="4"/>
          <c:order val="4"/>
          <c:tx>
            <c:strRef>
              <c:f>Sheet1!$H$68</c:f>
              <c:strCache>
                <c:ptCount val="1"/>
                <c:pt idx="0">
                  <c:v>非常不满意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Sheet1!$B$69:$B$80</c:f>
              <c:strCache>
                <c:ptCount val="12"/>
                <c:pt idx="0">
                  <c:v>Q1学校评奖评优</c:v>
                </c:pt>
                <c:pt idx="1">
                  <c:v>Q2学院评奖评优</c:v>
                </c:pt>
                <c:pt idx="2">
                  <c:v>Q3讲座报告</c:v>
                </c:pt>
                <c:pt idx="3">
                  <c:v>Q4选修课</c:v>
                </c:pt>
                <c:pt idx="4">
                  <c:v>Q5心理健康</c:v>
                </c:pt>
                <c:pt idx="5">
                  <c:v>Q6社团活动</c:v>
                </c:pt>
                <c:pt idx="6">
                  <c:v>Q7教室自习阅览室</c:v>
                </c:pt>
                <c:pt idx="7">
                  <c:v>Q8运动场馆</c:v>
                </c:pt>
                <c:pt idx="8">
                  <c:v>Q9学校教学服务</c:v>
                </c:pt>
                <c:pt idx="9">
                  <c:v>Q10学院教学服务</c:v>
                </c:pt>
                <c:pt idx="10">
                  <c:v>Q11学院学生服务</c:v>
                </c:pt>
                <c:pt idx="11">
                  <c:v>Q12师生关系</c:v>
                </c:pt>
              </c:strCache>
            </c:strRef>
          </c:cat>
          <c:val>
            <c:numRef>
              <c:f>Sheet1!$H$69:$H$80</c:f>
              <c:numCache>
                <c:formatCode>General</c:formatCode>
                <c:ptCount val="12"/>
                <c:pt idx="0">
                  <c:v>242</c:v>
                </c:pt>
                <c:pt idx="1">
                  <c:v>245</c:v>
                </c:pt>
                <c:pt idx="2">
                  <c:v>255</c:v>
                </c:pt>
                <c:pt idx="3">
                  <c:v>267</c:v>
                </c:pt>
                <c:pt idx="4">
                  <c:v>214</c:v>
                </c:pt>
                <c:pt idx="5">
                  <c:v>267</c:v>
                </c:pt>
                <c:pt idx="6">
                  <c:v>274</c:v>
                </c:pt>
                <c:pt idx="7">
                  <c:v>435</c:v>
                </c:pt>
                <c:pt idx="8">
                  <c:v>363</c:v>
                </c:pt>
                <c:pt idx="9">
                  <c:v>329</c:v>
                </c:pt>
                <c:pt idx="10">
                  <c:v>333</c:v>
                </c:pt>
                <c:pt idx="11">
                  <c:v>222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729920"/>
        <c:axId val="283954176"/>
      </c:barChart>
      <c:catAx>
        <c:axId val="283729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83954176"/>
        <c:crosses val="autoZero"/>
        <c:auto val="1"/>
        <c:lblAlgn val="ctr"/>
        <c:lblOffset val="100"/>
        <c:noMultiLvlLbl val="0"/>
      </c:catAx>
      <c:valAx>
        <c:axId val="283954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729920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spPr>
    <a:solidFill>
      <a:schemeClr val="accent4">
        <a:lumMod val="40000"/>
        <a:lumOff val="6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啸风</dc:creator>
  <cp:lastModifiedBy>Lenovo</cp:lastModifiedBy>
  <cp:revision>110</cp:revision>
  <dcterms:created xsi:type="dcterms:W3CDTF">2024-01-16T08:29:00Z</dcterms:created>
  <dcterms:modified xsi:type="dcterms:W3CDTF">2024-08-11T09:23:00Z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B38DACCE21AE45C3A61FE14528050210_13</vt:lpwstr>
  </property>
</Properties>
</file>