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A0BD1">
      <w:pPr>
        <w:pStyle w:val="2"/>
        <w:pageBreakBefore w:val="0"/>
        <w:numPr>
          <w:ilvl w:val="0"/>
          <w:numId w:val="0"/>
        </w:numPr>
        <w:kinsoku/>
        <w:wordWrap/>
        <w:overflowPunct/>
        <w:topLinePunct w:val="0"/>
        <w:autoSpaceDE/>
        <w:autoSpaceDN/>
        <w:bidi w:val="0"/>
        <w:adjustRightInd/>
        <w:snapToGrid/>
        <w:spacing w:line="560" w:lineRule="exact"/>
        <w:ind w:leftChars="0" w:right="161" w:rightChars="0"/>
        <w:jc w:val="center"/>
        <w:textAlignment w:val="auto"/>
        <w:rPr>
          <w:rFonts w:hint="default" w:ascii="黑体" w:hAnsi="黑体" w:eastAsia="黑体" w:cs="黑体"/>
          <w:b w:val="0"/>
          <w:color w:val="auto"/>
          <w:kern w:val="2"/>
          <w:sz w:val="32"/>
          <w:szCs w:val="32"/>
          <w:lang w:val="en-US" w:eastAsia="zh-CN" w:bidi="ar-SA"/>
          <w14:ligatures w14:val="standardContextual"/>
        </w:rPr>
      </w:pPr>
      <w:r>
        <w:rPr>
          <w:rFonts w:hint="eastAsia" w:ascii="黑体" w:hAnsi="黑体" w:eastAsia="黑体" w:cs="黑体"/>
          <w:b w:val="0"/>
          <w:color w:val="auto"/>
          <w:kern w:val="2"/>
          <w:sz w:val="32"/>
          <w:szCs w:val="32"/>
          <w:lang w:val="en-US" w:eastAsia="zh-CN" w:bidi="ar-SA"/>
          <w14:ligatures w14:val="standardContextual"/>
        </w:rPr>
        <w:t>2025年4月份学生信息员信息反馈小结</w:t>
      </w:r>
    </w:p>
    <w:p w14:paraId="1BCE417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14:ligatures w14:val="standardContextual"/>
        </w:rPr>
      </w:pPr>
      <w:r>
        <w:rPr>
          <w:rFonts w:hint="eastAsia" w:ascii="仿宋_GB2312" w:hAnsi="仿宋_GB2312" w:eastAsia="仿宋_GB2312" w:cs="仿宋_GB2312"/>
          <w:b w:val="0"/>
          <w:color w:val="auto"/>
          <w:kern w:val="2"/>
          <w:sz w:val="32"/>
          <w:szCs w:val="32"/>
          <w:lang w:val="en-US" w:eastAsia="zh-CN" w:bidi="ar-SA"/>
          <w14:ligatures w14:val="standardContextual"/>
        </w:rPr>
        <w:t>4月份共收集学生信息员有效信息（建议）74条，大</w:t>
      </w:r>
    </w:p>
    <w:p w14:paraId="000BFB01">
      <w:pPr>
        <w:numPr>
          <w:ilvl w:val="0"/>
          <w:numId w:val="0"/>
        </w:numPr>
        <w:spacing w:before="100" w:line="239" w:lineRule="auto"/>
        <w:rPr>
          <w:rFonts w:hint="default" w:ascii="仿宋_GB2312" w:hAnsi="仿宋_GB2312" w:eastAsia="仿宋_GB2312" w:cs="仿宋_GB2312"/>
          <w:b w:val="0"/>
          <w:color w:val="auto"/>
          <w:kern w:val="2"/>
          <w:sz w:val="32"/>
          <w:szCs w:val="32"/>
          <w:lang w:val="en-US" w:eastAsia="zh-CN" w:bidi="ar-SA"/>
          <w14:ligatures w14:val="standardContextual"/>
        </w:rPr>
      </w:pPr>
      <w:r>
        <w:rPr>
          <w:rFonts w:hint="eastAsia" w:ascii="仿宋_GB2312" w:hAnsi="仿宋_GB2312" w:eastAsia="仿宋_GB2312" w:cs="仿宋_GB2312"/>
          <w:b w:val="0"/>
          <w:color w:val="auto"/>
          <w:kern w:val="2"/>
          <w:sz w:val="32"/>
          <w:szCs w:val="32"/>
          <w:lang w:val="en-US" w:eastAsia="zh-CN" w:bidi="ar-SA"/>
          <w14:ligatures w14:val="standardContextual"/>
        </w:rPr>
        <w:t>部分在第一时间反馈给相关教师、部门加以改进。目前</w:t>
      </w:r>
      <w:r>
        <w:rPr>
          <w:rFonts w:hint="eastAsia" w:ascii="仿宋_GB2312" w:hAnsi="仿宋_GB2312" w:eastAsia="仿宋_GB2312" w:cs="仿宋_GB2312"/>
          <w:color w:val="000000"/>
          <w:kern w:val="0"/>
          <w:sz w:val="32"/>
          <w:szCs w:val="32"/>
          <w:lang w:val="en-US" w:eastAsia="zh-CN" w:bidi="ar"/>
        </w:rPr>
        <w:t>已建立了学生信息员常态化信息报备机制，通过动态收集各学院整改反馈信息，完成首轮成效总结及典型案例整理工作。</w:t>
      </w:r>
      <w:r>
        <w:rPr>
          <w:rFonts w:hint="eastAsia" w:ascii="仿宋_GB2312" w:hAnsi="仿宋_GB2312" w:eastAsia="仿宋_GB2312" w:cs="仿宋_GB2312"/>
          <w:b w:val="0"/>
          <w:color w:val="auto"/>
          <w:kern w:val="2"/>
          <w:sz w:val="32"/>
          <w:szCs w:val="32"/>
          <w:lang w:val="en-US" w:eastAsia="zh-CN" w:bidi="ar-SA"/>
          <w14:ligatures w14:val="standardContextual"/>
        </w:rPr>
        <w:t>现收到多个学院提交的多维度改进材料，涉及课堂教</w:t>
      </w:r>
      <w:r>
        <w:rPr>
          <w:rFonts w:hint="default" w:ascii="仿宋_GB2312" w:hAnsi="仿宋_GB2312" w:eastAsia="仿宋_GB2312" w:cs="仿宋_GB2312"/>
          <w:b w:val="0"/>
          <w:color w:val="auto"/>
          <w:kern w:val="2"/>
          <w:sz w:val="32"/>
          <w:szCs w:val="32"/>
          <w:lang w:val="en-US" w:eastAsia="zh-CN" w:bidi="ar-SA"/>
          <w14:ligatures w14:val="standardContextual"/>
        </w:rPr>
        <w:t>学优化等重点领域。下阶段将持续完善动态监测体系，强化整改成果跟踪管理。</w:t>
      </w:r>
    </w:p>
    <w:p w14:paraId="142740EF">
      <w:pPr>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kern w:val="2"/>
          <w:sz w:val="32"/>
          <w:szCs w:val="32"/>
          <w:lang w:val="en-US" w:eastAsia="zh-CN" w:bidi="ar-SA"/>
          <w14:ligatures w14:val="standardContextual"/>
        </w:rPr>
      </w:pPr>
      <w:r>
        <w:rPr>
          <w:rFonts w:hint="eastAsia" w:ascii="仿宋_GB2312" w:hAnsi="仿宋_GB2312" w:eastAsia="仿宋_GB2312" w:cs="仿宋_GB2312"/>
          <w:b/>
          <w:bCs/>
          <w:color w:val="auto"/>
          <w:kern w:val="2"/>
          <w:sz w:val="32"/>
          <w:szCs w:val="32"/>
          <w:lang w:val="en-US" w:eastAsia="zh-CN" w:bidi="ar-SA"/>
          <w14:ligatures w14:val="standardContextual"/>
        </w:rPr>
        <w:t>1.教师教学方面问题</w:t>
      </w:r>
    </w:p>
    <w:p w14:paraId="2F25F6E6">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auto"/>
          <w:kern w:val="2"/>
          <w:sz w:val="32"/>
          <w:szCs w:val="32"/>
          <w:lang w:val="en-US" w:eastAsia="zh-CN" w:bidi="ar-SA"/>
          <w14:ligatures w14:val="standardContextual"/>
        </w:rPr>
        <w:t xml:space="preserve">    </w:t>
      </w:r>
      <w:r>
        <w:rPr>
          <w:rFonts w:hint="eastAsia" w:ascii="仿宋_GB2312" w:hAnsi="仿宋_GB2312" w:eastAsia="仿宋_GB2312" w:cs="仿宋_GB2312"/>
          <w:b w:val="0"/>
          <w:bCs w:val="0"/>
          <w:color w:val="auto"/>
          <w:kern w:val="2"/>
          <w:sz w:val="32"/>
          <w:szCs w:val="32"/>
          <w:lang w:val="en-US" w:eastAsia="zh-CN" w:bidi="ar-SA"/>
          <w14:ligatures w14:val="standardContextual"/>
        </w:rPr>
        <w:t>主要涉及教师PPT制作效果不佳，不能很好体现知识点；课堂教学时间的把控和分配不合理；教学重点不突出学生理解有难度。</w:t>
      </w:r>
      <w:r>
        <w:rPr>
          <w:rFonts w:hint="eastAsia" w:ascii="仿宋_GB2312" w:hAnsi="仿宋_GB2312" w:eastAsia="仿宋_GB2312" w:cs="仿宋_GB2312"/>
          <w:b w:val="0"/>
          <w:bCs w:val="0"/>
          <w:color w:val="000000"/>
          <w:kern w:val="0"/>
          <w:sz w:val="32"/>
          <w:szCs w:val="32"/>
          <w:lang w:val="en-US" w:eastAsia="zh-CN" w:bidi="ar"/>
        </w:rPr>
        <w:t>目前大部分二级学院在收到信息员问题反馈后及时与对应授课教师进行沟通，改进教师教学；质量保障处也已督促少数二级学院尽快与教师进行交流信息员反馈的情况。</w:t>
      </w:r>
    </w:p>
    <w:p w14:paraId="0CB3AB01">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auto"/>
          <w:kern w:val="2"/>
          <w:sz w:val="32"/>
          <w:szCs w:val="32"/>
          <w:lang w:val="en-US" w:eastAsia="zh-CN" w:bidi="ar-SA"/>
          <w14:ligatures w14:val="standardContextual"/>
        </w:rPr>
        <w:t>2.学生学习状态</w:t>
      </w:r>
    </w:p>
    <w:p w14:paraId="463A78F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学生信息员反馈了部分班级上课玩手机现象多，请假、缺勤情况多等课堂秩序情况，相关二级学院已采取了加强课堂巡查、督促教师约束课堂秩序等措施。针对学生普遍反映的课业负担过重、学习方法欠佳问题，将通过优化课程设计、加强教师辅导、建立学习互助小组等方式改进。目前多数学生在知识掌握和学业表现方面已有明显提升，个性化教育支持体系正在持续推进完善。</w:t>
      </w:r>
    </w:p>
    <w:p w14:paraId="2AAD46CA">
      <w:pPr>
        <w:pStyle w:val="2"/>
        <w:pageBreakBefore w:val="0"/>
        <w:numPr>
          <w:ilvl w:val="0"/>
          <w:numId w:val="0"/>
        </w:numPr>
        <w:kinsoku/>
        <w:wordWrap/>
        <w:overflowPunct/>
        <w:topLinePunct w:val="0"/>
        <w:autoSpaceDE/>
        <w:autoSpaceDN/>
        <w:bidi w:val="0"/>
        <w:adjustRightInd/>
        <w:snapToGrid/>
        <w:spacing w:line="560" w:lineRule="exact"/>
        <w:ind w:right="161" w:rightChars="0" w:firstLine="643" w:firstLineChars="200"/>
        <w:textAlignment w:val="auto"/>
        <w:rPr>
          <w:rFonts w:hint="default" w:ascii="仿宋_GB2312" w:hAnsi="仿宋_GB2312" w:eastAsia="仿宋_GB2312" w:cs="仿宋_GB2312"/>
          <w:b/>
          <w:bCs/>
          <w:color w:val="auto"/>
          <w:kern w:val="2"/>
          <w:sz w:val="32"/>
          <w:szCs w:val="32"/>
          <w:lang w:val="en-US" w:eastAsia="zh-CN" w:bidi="ar-SA"/>
          <w14:ligatures w14:val="standardContextual"/>
        </w:rPr>
      </w:pPr>
      <w:r>
        <w:rPr>
          <w:rFonts w:hint="eastAsia" w:ascii="仿宋_GB2312" w:hAnsi="仿宋_GB2312" w:eastAsia="仿宋_GB2312" w:cs="仿宋_GB2312"/>
          <w:b/>
          <w:bCs/>
          <w:color w:val="auto"/>
          <w:kern w:val="2"/>
          <w:sz w:val="32"/>
          <w:szCs w:val="32"/>
          <w:lang w:val="en-US" w:eastAsia="zh-CN" w:bidi="ar-SA"/>
          <w14:ligatures w14:val="standardContextual"/>
        </w:rPr>
        <w:t>3.教学设备问题</w:t>
      </w:r>
    </w:p>
    <w:p w14:paraId="5D7B7E5C">
      <w:pPr>
        <w:pageBreakBefore w:val="0"/>
        <w:numPr>
          <w:ilvl w:val="255"/>
          <w:numId w:val="0"/>
        </w:numPr>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b w:val="0"/>
          <w:color w:val="auto"/>
          <w:kern w:val="2"/>
          <w:sz w:val="32"/>
          <w:szCs w:val="32"/>
          <w:lang w:val="en-US" w:eastAsia="zh-CN" w:bidi="ar-SA"/>
          <w14:ligatures w14:val="standardContextual"/>
        </w:rPr>
        <w:t xml:space="preserve">    涉及</w:t>
      </w:r>
      <w:r>
        <w:rPr>
          <w:rFonts w:hint="default" w:ascii="仿宋_GB2312" w:hAnsi="仿宋_GB2312" w:eastAsia="仿宋_GB2312" w:cs="仿宋_GB2312"/>
          <w:b w:val="0"/>
          <w:color w:val="auto"/>
          <w:kern w:val="2"/>
          <w:sz w:val="32"/>
          <w:szCs w:val="32"/>
          <w:lang w:val="en-US" w:eastAsia="zh-CN" w:bidi="ar-SA"/>
          <w14:ligatures w14:val="standardContextual"/>
        </w:rPr>
        <w:t>教学设备</w:t>
      </w:r>
      <w:r>
        <w:rPr>
          <w:rFonts w:hint="eastAsia" w:ascii="仿宋_GB2312" w:hAnsi="仿宋_GB2312" w:eastAsia="仿宋_GB2312" w:cs="仿宋_GB2312"/>
          <w:b w:val="0"/>
          <w:color w:val="auto"/>
          <w:kern w:val="2"/>
          <w:sz w:val="32"/>
          <w:szCs w:val="32"/>
          <w:lang w:val="en-US" w:eastAsia="zh-CN" w:bidi="ar-SA"/>
          <w14:ligatures w14:val="standardContextual"/>
        </w:rPr>
        <w:t>方面的</w:t>
      </w:r>
      <w:r>
        <w:rPr>
          <w:rFonts w:hint="default" w:ascii="仿宋_GB2312" w:hAnsi="仿宋_GB2312" w:eastAsia="仿宋_GB2312" w:cs="仿宋_GB2312"/>
          <w:b w:val="0"/>
          <w:color w:val="auto"/>
          <w:kern w:val="2"/>
          <w:sz w:val="32"/>
          <w:szCs w:val="32"/>
          <w:lang w:val="en-US" w:eastAsia="zh-CN" w:bidi="ar-SA"/>
          <w14:ligatures w14:val="standardContextual"/>
        </w:rPr>
        <w:t>反馈</w:t>
      </w:r>
      <w:r>
        <w:rPr>
          <w:rFonts w:hint="eastAsia" w:ascii="仿宋_GB2312" w:hAnsi="仿宋_GB2312" w:eastAsia="仿宋_GB2312" w:cs="仿宋_GB2312"/>
          <w:b w:val="0"/>
          <w:color w:val="auto"/>
          <w:kern w:val="2"/>
          <w:sz w:val="32"/>
          <w:szCs w:val="32"/>
          <w:lang w:val="en-US" w:eastAsia="zh-CN" w:bidi="ar-SA"/>
          <w14:ligatures w14:val="standardContextual"/>
        </w:rPr>
        <w:t>信息</w:t>
      </w:r>
      <w:r>
        <w:rPr>
          <w:rFonts w:hint="default" w:ascii="仿宋_GB2312" w:hAnsi="仿宋_GB2312" w:eastAsia="仿宋_GB2312" w:cs="仿宋_GB2312"/>
          <w:b w:val="0"/>
          <w:color w:val="auto"/>
          <w:kern w:val="2"/>
          <w:sz w:val="32"/>
          <w:szCs w:val="32"/>
          <w:lang w:val="en-US" w:eastAsia="zh-CN" w:bidi="ar-SA"/>
          <w14:ligatures w14:val="standardContextual"/>
        </w:rPr>
        <w:t>占比超</w:t>
      </w:r>
      <w:r>
        <w:rPr>
          <w:rFonts w:hint="eastAsia" w:ascii="仿宋_GB2312" w:hAnsi="仿宋_GB2312" w:eastAsia="仿宋_GB2312" w:cs="仿宋_GB2312"/>
          <w:b w:val="0"/>
          <w:color w:val="auto"/>
          <w:kern w:val="2"/>
          <w:sz w:val="32"/>
          <w:szCs w:val="32"/>
          <w:lang w:val="en-US" w:eastAsia="zh-CN" w:bidi="ar-SA"/>
          <w14:ligatures w14:val="standardContextual"/>
        </w:rPr>
        <w:t>47</w:t>
      </w:r>
      <w:r>
        <w:rPr>
          <w:rFonts w:hint="default" w:ascii="仿宋_GB2312" w:hAnsi="仿宋_GB2312" w:eastAsia="仿宋_GB2312" w:cs="仿宋_GB2312"/>
          <w:b w:val="0"/>
          <w:color w:val="auto"/>
          <w:kern w:val="2"/>
          <w:sz w:val="32"/>
          <w:szCs w:val="32"/>
          <w:lang w:val="en-US" w:eastAsia="zh-CN" w:bidi="ar-SA"/>
          <w14:ligatures w14:val="standardContextual"/>
        </w:rPr>
        <w:t>%，</w:t>
      </w:r>
      <w:r>
        <w:rPr>
          <w:rFonts w:hint="eastAsia" w:ascii="仿宋_GB2312" w:hAnsi="仿宋_GB2312" w:eastAsia="仿宋_GB2312" w:cs="仿宋_GB2312"/>
          <w:b w:val="0"/>
          <w:color w:val="auto"/>
          <w:kern w:val="2"/>
          <w:sz w:val="32"/>
          <w:szCs w:val="32"/>
          <w:lang w:val="en-US" w:eastAsia="zh-CN" w:bidi="ar-SA"/>
          <w14:ligatures w14:val="standardContextual"/>
        </w:rPr>
        <w:t>包括电子投屏显示、网络连接等问题15条，座椅损坏、电源插座等问题11条，教室环境卫生等问题7条，上述</w:t>
      </w:r>
      <w:r>
        <w:rPr>
          <w:rFonts w:hint="default" w:ascii="仿宋_GB2312" w:hAnsi="仿宋_GB2312" w:eastAsia="仿宋_GB2312" w:cs="仿宋_GB2312"/>
          <w:b w:val="0"/>
          <w:color w:val="auto"/>
          <w:kern w:val="2"/>
          <w:sz w:val="32"/>
          <w:szCs w:val="32"/>
          <w:lang w:val="en-US" w:eastAsia="zh-CN" w:bidi="ar-SA"/>
          <w14:ligatures w14:val="standardContextual"/>
        </w:rPr>
        <w:t>问题</w:t>
      </w:r>
      <w:r>
        <w:rPr>
          <w:rFonts w:hint="eastAsia" w:ascii="仿宋_GB2312" w:hAnsi="仿宋_GB2312" w:eastAsia="仿宋_GB2312" w:cs="仿宋_GB2312"/>
          <w:b w:val="0"/>
          <w:color w:val="auto"/>
          <w:kern w:val="2"/>
          <w:sz w:val="32"/>
          <w:szCs w:val="32"/>
          <w:lang w:val="en-US" w:eastAsia="zh-CN" w:bidi="ar-SA"/>
          <w14:ligatures w14:val="standardContextual"/>
        </w:rPr>
        <w:t>皆已反馈至对应负责部门（信息中心、后勤处、教学资源中心等）。</w:t>
      </w:r>
      <w:r>
        <w:rPr>
          <w:rFonts w:hint="eastAsia" w:ascii="Times New Roman" w:hAnsi="Times New Roman" w:eastAsia="仿宋_GB2312" w:cs="Times New Roman"/>
          <w:sz w:val="32"/>
          <w:szCs w:val="32"/>
        </w:rPr>
        <w:t xml:space="preserve">  </w:t>
      </w:r>
    </w:p>
    <w:p w14:paraId="1C892870"/>
    <w:p w14:paraId="5798F6BE"/>
    <w:p w14:paraId="12A2134A"/>
    <w:p w14:paraId="5C8857A1">
      <w:pPr>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质量保障处</w:t>
      </w:r>
    </w:p>
    <w:p w14:paraId="63D1D66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2025年4月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D3CF3"/>
    <w:rsid w:val="1988776F"/>
    <w:rsid w:val="607D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next w:val="1"/>
    <w:qFormat/>
    <w:uiPriority w:val="9"/>
    <w:pPr>
      <w:keepNext/>
      <w:keepLines/>
      <w:spacing w:before="340" w:after="330" w:line="576" w:lineRule="auto"/>
      <w:ind w:left="10" w:right="161" w:hanging="10"/>
      <w:outlineLvl w:val="0"/>
    </w:pPr>
    <w:rPr>
      <w:rFonts w:ascii="微软雅黑" w:hAnsi="微软雅黑" w:eastAsia="微软雅黑" w:cs="微软雅黑"/>
      <w:b/>
      <w:color w:val="000000"/>
      <w:kern w:val="44"/>
      <w:sz w:val="4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2025-05-28T05:41:00Z</dcterms:created>
  <dc:creator>啸风</dc:creator>
  <cp:lastModifiedBy>啸风</cp:lastModifiedBy>
  <dcterms:modified xsi:type="dcterms:W3CDTF">2025-05-28T05:43:30Z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AA5CDCAE53894815AE0A3EA8141B5780_11</vt:lpwstr>
  </property>
  <property fmtid="{D5CDD505-2E9C-101B-9397-08002B2CF9AE}" pid="4" name="KSOTemplateDocerSaveRecord">
    <vt:lpwstr>eyJoZGlkIjoiYjBiNTA2ZDg1MTFmNTlkYzUzNzYwZDMxYzVjYWIxZDciLCJ1c2VySWQiOiIxMjAwMzUzNDA0In0=</vt:lpwstr>
  </property>
</Properties>
</file>